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4B" w:rsidRPr="00982F18" w:rsidRDefault="00CD484B" w:rsidP="00C51F6C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Приложение</w:t>
      </w:r>
    </w:p>
    <w:p w:rsidR="00CD484B" w:rsidRPr="00982F18" w:rsidRDefault="00CD484B" w:rsidP="00CD484B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к решению Хурала представителей</w:t>
      </w:r>
    </w:p>
    <w:p w:rsidR="00CD484B" w:rsidRPr="00982F18" w:rsidRDefault="0009571B" w:rsidP="00CD484B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Каргынский </w:t>
      </w:r>
    </w:p>
    <w:p w:rsidR="00CD484B" w:rsidRDefault="0009571B" w:rsidP="00CD484B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Монгун-Тайгинского  кожууна </w:t>
      </w:r>
    </w:p>
    <w:p w:rsidR="0009571B" w:rsidRPr="00982F18" w:rsidRDefault="0009571B" w:rsidP="00CD484B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Тыва </w:t>
      </w:r>
    </w:p>
    <w:p w:rsidR="00CD484B" w:rsidRPr="00982F18" w:rsidRDefault="00CD484B" w:rsidP="00CD484B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82F18">
        <w:rPr>
          <w:rFonts w:ascii="Times New Roman" w:hAnsi="Times New Roman" w:cs="Times New Roman"/>
          <w:sz w:val="24"/>
          <w:szCs w:val="24"/>
        </w:rPr>
        <w:t>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82F18">
        <w:rPr>
          <w:rFonts w:ascii="Times New Roman" w:hAnsi="Times New Roman" w:cs="Times New Roman"/>
          <w:sz w:val="24"/>
          <w:szCs w:val="24"/>
        </w:rPr>
        <w:t>__2019г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2F18">
        <w:rPr>
          <w:rFonts w:ascii="Times New Roman" w:hAnsi="Times New Roman" w:cs="Times New Roman"/>
          <w:sz w:val="24"/>
          <w:szCs w:val="24"/>
        </w:rPr>
        <w:t>№</w:t>
      </w:r>
      <w:r w:rsidR="0009571B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CD484B" w:rsidRPr="00982F18" w:rsidRDefault="00CD484B" w:rsidP="00CD484B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D484B" w:rsidRPr="00982F18" w:rsidRDefault="00CD484B" w:rsidP="00CD4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Правила</w:t>
      </w:r>
    </w:p>
    <w:p w:rsidR="00CD484B" w:rsidRPr="00982F18" w:rsidRDefault="00CD484B" w:rsidP="00CD484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CD484B" w:rsidRPr="00982F18" w:rsidRDefault="00CD484B" w:rsidP="00CD484B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2F18">
        <w:rPr>
          <w:rFonts w:ascii="Times New Roman" w:hAnsi="Times New Roman" w:cs="Times New Roman"/>
          <w:sz w:val="24"/>
          <w:szCs w:val="24"/>
        </w:rPr>
        <w:t>сумон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71B">
        <w:rPr>
          <w:rFonts w:ascii="Times New Roman" w:hAnsi="Times New Roman" w:cs="Times New Roman"/>
          <w:sz w:val="24"/>
          <w:szCs w:val="24"/>
        </w:rPr>
        <w:t xml:space="preserve"> Каргынский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71B">
        <w:rPr>
          <w:rFonts w:ascii="Times New Roman" w:hAnsi="Times New Roman" w:cs="Times New Roman"/>
          <w:sz w:val="24"/>
          <w:szCs w:val="24"/>
        </w:rPr>
        <w:t xml:space="preserve"> Монгун-Тайгинс</w:t>
      </w:r>
      <w:r w:rsidRPr="00982F18">
        <w:rPr>
          <w:rFonts w:ascii="Times New Roman" w:hAnsi="Times New Roman" w:cs="Times New Roman"/>
          <w:sz w:val="24"/>
          <w:szCs w:val="24"/>
        </w:rPr>
        <w:t>кого кожууна Республики Тыва</w:t>
      </w:r>
    </w:p>
    <w:p w:rsidR="00CD484B" w:rsidRPr="00982F18" w:rsidRDefault="00CD484B" w:rsidP="00CD484B">
      <w:pPr>
        <w:spacing w:after="0" w:line="276" w:lineRule="exact"/>
        <w:ind w:right="-2" w:firstLine="567"/>
        <w:rPr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CD484B" w:rsidRPr="00982F18" w:rsidRDefault="00CD484B" w:rsidP="00CD484B">
      <w:pPr>
        <w:spacing w:after="0" w:line="25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1.1. Настоящие Правила благоустройства сельского поселения (далее – Правила) разработаны в соответствии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</w:t>
      </w:r>
      <w:r w:rsidR="00796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правил по благоустройству территорий муниципальных образований»;</w:t>
      </w:r>
    </w:p>
    <w:p w:rsidR="00CD484B" w:rsidRDefault="00CD484B" w:rsidP="00CD484B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>сельского поселения Монгун-Тайгинского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санитарными, строительными правилами, правилами пожарной безопасности и другими нормативными актами.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О порядке определения органами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еспублике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ыва границ прилегающих 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17 декабря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456-ЗРТ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84B" w:rsidRPr="00982F18" w:rsidRDefault="00CD484B" w:rsidP="00CD484B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1.2.Настоящие Правила разработаны в целях обеспечения:</w:t>
      </w:r>
    </w:p>
    <w:p w:rsidR="00CD484B" w:rsidRPr="00982F18" w:rsidRDefault="00CD484B" w:rsidP="00CD484B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CD484B" w:rsidRPr="00982F18" w:rsidRDefault="00CD484B" w:rsidP="00CD484B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CD484B" w:rsidRPr="00982F18" w:rsidRDefault="00CD484B" w:rsidP="00CD484B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</w:p>
    <w:p w:rsidR="00CD484B" w:rsidRPr="00982F18" w:rsidRDefault="00CD484B" w:rsidP="00CD484B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земельных участков по систематической санитарной очистке, уборке и содержанию в образцовом порядке:</w:t>
      </w:r>
    </w:p>
    <w:p w:rsidR="00CD484B" w:rsidRPr="00982F18" w:rsidRDefault="00CD484B" w:rsidP="00CD484B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CD484B" w:rsidRPr="00982F18" w:rsidRDefault="00CD484B" w:rsidP="00CD484B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2"/>
        </w:numPr>
        <w:tabs>
          <w:tab w:val="left" w:pos="114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жилых, административных, социальных, промышленных, сельскохозяйственных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2"/>
        </w:numPr>
        <w:tabs>
          <w:tab w:val="left" w:pos="1167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CD484B" w:rsidRPr="00982F18" w:rsidRDefault="00CD484B" w:rsidP="00CD484B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CD484B" w:rsidRPr="00982F18" w:rsidRDefault="00CD484B" w:rsidP="00CD484B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омплекс предусмотренных настоящими Правилами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ерритория(в том числе территория предприятий,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екоративные,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планировочные,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езультат строительства,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объемную строительную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тдельно построенное здание,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дом,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состоящее из одной или нескольких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частей, как одно целое, а также служебные строения.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бъекты капитального строительства,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представляющие собой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ндивидуально-определенное здание,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которое состоит из комнат,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многоквартирный дом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овокупность двух и более квартир,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самостоятельные выходы либо выходы на прилегающий земельный участок, либо в помещения общего пользования;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51F6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объекта благоустройства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беспечение чистоты,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поддержание в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надлежащем техническом, физическом, санитарном и эстетическом состоянии объектов благоустройства, их отдельных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элементов;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proofErr w:type="spell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–осуществление работ,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направленных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насоздание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новых или повышение качественного состояния существующих элементов или объектов благоустройства;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благоустройства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окументация,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содержащая материалы в текстовой и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бустроенная или приспособленная и используемая для движения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ооружения,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предназначенные  для  создания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орговый объект,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 для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автоматы, передвижные средства развозной и разносной торговли);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омплекс работ,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производится полное восстановление и повышение работоспособности дорожной одежды</w:t>
      </w:r>
      <w:r w:rsidRPr="00982F18">
        <w:rPr>
          <w:sz w:val="24"/>
          <w:szCs w:val="24"/>
        </w:rPr>
        <w:t xml:space="preserve"> 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орога,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к проезжим частям жилых и магистральных улиц,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разворотным площадкам;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орожное покрытие в составе дорожных одежд капитального,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облегченного и переходного типов, монолитное или сборное, выполняемое из асфальтобетона,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цементобетона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природного камня и т.п.;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искусственно созданный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участок поверхности, в том числе с травяным покрытием и возможным размещением зелёных насаждений и парковых сооружений;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лемент благоустройства,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участок поверхности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любой формы и размера, занятый посеянными или высаженными цветочными растениями;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ревесная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,древесно-кустарниковая,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кустарниковая и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травянистая растительность как искусственного, так и естественного происхождения;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дендроплан</w:t>
      </w:r>
      <w:proofErr w:type="spell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роект озеленения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территории,включающий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себя информацию обустройстве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дорожно-тропиночной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еханическое,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химическое и иное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овреждение зеленых насаждений,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повлекшее прекращение их роста; 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оспроизводство зеленых насаждений в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замену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ничтоженных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или поврежденных;</w:t>
      </w:r>
    </w:p>
    <w:p w:rsidR="00CD484B" w:rsidRPr="00982F18" w:rsidRDefault="00C51F6C" w:rsidP="00CD484B">
      <w:pPr>
        <w:spacing w:after="0" w:line="24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CD484B"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емляные работы </w:t>
      </w:r>
      <w:proofErr w:type="gramStart"/>
      <w:r w:rsidR="00CD484B" w:rsidRPr="00982F1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="00CD484B" w:rsidRPr="00982F18">
        <w:rPr>
          <w:rFonts w:ascii="Times New Roman" w:eastAsia="Times New Roman" w:hAnsi="Times New Roman" w:cs="Times New Roman"/>
          <w:sz w:val="24"/>
          <w:szCs w:val="24"/>
        </w:rPr>
        <w:t>роизводство работ,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84B" w:rsidRPr="00982F18">
        <w:rPr>
          <w:rFonts w:ascii="Times New Roman" w:eastAsia="Times New Roman" w:hAnsi="Times New Roman" w:cs="Times New Roman"/>
          <w:sz w:val="24"/>
          <w:szCs w:val="24"/>
        </w:rPr>
        <w:t xml:space="preserve">связанных со вскрытием грунта </w:t>
      </w:r>
      <w:proofErr w:type="spellStart"/>
      <w:r w:rsidR="00CD484B" w:rsidRPr="00982F18">
        <w:rPr>
          <w:rFonts w:ascii="Times New Roman" w:eastAsia="Times New Roman" w:hAnsi="Times New Roman" w:cs="Times New Roman"/>
          <w:sz w:val="24"/>
          <w:szCs w:val="24"/>
        </w:rPr>
        <w:t>наглубину</w:t>
      </w:r>
      <w:proofErr w:type="spellEnd"/>
      <w:r w:rsidR="00CD484B" w:rsidRPr="00982F18">
        <w:rPr>
          <w:rFonts w:ascii="Times New Roman" w:eastAsia="Times New Roman" w:hAnsi="Times New Roman" w:cs="Times New Roman"/>
          <w:sz w:val="24"/>
          <w:szCs w:val="24"/>
        </w:rPr>
        <w:t xml:space="preserve">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аботы по частичному изменению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внешнихповерхностей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</w:p>
    <w:p w:rsidR="00CD484B" w:rsidRPr="00982F18" w:rsidRDefault="00CD484B" w:rsidP="00CD484B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формированная территория,</w:t>
      </w:r>
      <w:r w:rsidR="00C5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прилегающая к одному или</w:t>
      </w:r>
      <w:r w:rsidR="00C5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нескольким многоквартирным домам и находящаяся в общем пользовании проживающих</w:t>
      </w:r>
      <w:r w:rsidR="00C5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овой территории,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аружная,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внешняя поверхность объекта капитального строительства,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включающая архитектурные элементы и детали (балконы, окна, двери, колоннады и др.);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истематически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амена и(или)восстановление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некапитальные объекты) –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легковозводимых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другие подобные сооружения;</w:t>
      </w:r>
    </w:p>
    <w:p w:rsidR="00CD484B" w:rsidRPr="00982F18" w:rsidRDefault="00CD484B" w:rsidP="00CD484B">
      <w:pPr>
        <w:spacing w:after="0" w:line="5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объекты (средства) наружного освещения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светительные приборы наружного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CD484B" w:rsidRPr="00982F18" w:rsidRDefault="00CD484B" w:rsidP="00CD484B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онструкции,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34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усоросборник,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твердых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коммунальных отходов, за исключением крупногабаритных отходов;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тандартная емкость для сбора мусора объемом до0,5кубических метров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включительно;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контейнерная площадка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есто накопления твердых коммунальных отходов,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тходы,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образующиеся в жилых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вердые коммунальные отходы(мебель,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бытоваятехника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отходы от текущего ремонта жилых помещений и др.), размер которых не позволяет осуществить их складирование в контейнерах;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ыгрузка мусора из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оглашение,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заключенное между потребителем и региональным оператором,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зоне деятельности которого образуются твердые коммунальные отходы и находятся места их сбора и накопления.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ачистка территорий,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и утилизация(обезвреживание) мусора;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мусора–информация</w:t>
      </w:r>
      <w:proofErr w:type="gramStart"/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в том числе составная часть договора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навывоз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мусора, с указанием места (адреса), объема и времени вывоза мусора;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–ж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илой дом(часть жилого дома)и примыкающие к нему и(или)отдельно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определяются правилами благоустройства территорий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образований в Республике Тыва (далее - правила благоустройства) в случае, если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домов) в содержании прилегающих территорий.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строению, сооружению, земельному участку в случае, если такой земельный участок образован, 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непримыкающая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ерритории,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которыми беспрепятственно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пользуется неограниченный круг лиц (скверы, площади, улицы,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набережные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–ж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ивотные,</w:t>
      </w:r>
      <w:r w:rsidR="00C5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которые не имеют собственника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,либо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пользования) выбыли из владения указанных лиц;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ероприятия по регулированию численности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безнадзорных животных.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CD484B" w:rsidRPr="00982F18" w:rsidRDefault="00CD484B" w:rsidP="00CD484B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CD484B" w:rsidRPr="00982F18" w:rsidRDefault="00CD484B" w:rsidP="00CD484B">
      <w:pPr>
        <w:spacing w:after="0" w:line="3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CD484B" w:rsidRPr="00982F18" w:rsidRDefault="00CD484B" w:rsidP="00CD484B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Default="00CD484B" w:rsidP="00CD484B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) обеспечение комфортного и безопасного проживания граждан.</w:t>
      </w:r>
    </w:p>
    <w:p w:rsidR="00CD484B" w:rsidRPr="00982F18" w:rsidRDefault="00CD484B" w:rsidP="00CD484B">
      <w:pPr>
        <w:spacing w:after="0" w:line="25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CD484B" w:rsidRPr="00982F18" w:rsidRDefault="00CD484B" w:rsidP="00CD484B">
      <w:pPr>
        <w:spacing w:after="0" w:line="326" w:lineRule="exact"/>
        <w:ind w:right="-2" w:firstLine="567"/>
        <w:jc w:val="both"/>
        <w:rPr>
          <w:sz w:val="24"/>
          <w:szCs w:val="24"/>
        </w:rPr>
      </w:pPr>
    </w:p>
    <w:p w:rsidR="00796621" w:rsidRDefault="00796621" w:rsidP="00CD484B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2. ОБЩЕСТВЕННОЕ УЧАСТИЕ</w:t>
      </w:r>
    </w:p>
    <w:p w:rsidR="00CD484B" w:rsidRPr="00982F18" w:rsidRDefault="00CD484B" w:rsidP="00CD484B">
      <w:pPr>
        <w:spacing w:after="0" w:line="98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CD484B" w:rsidRPr="00982F18" w:rsidRDefault="00CD484B" w:rsidP="00CD484B">
      <w:pPr>
        <w:spacing w:after="0" w:line="276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CD484B" w:rsidRPr="00982F18" w:rsidRDefault="00CD484B" w:rsidP="00CD484B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а) население поселения, которое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формирует запрос на благоустройство и принимает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б) представители органов местного самоуправления поселения, которые формируют техническое задание,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выбирают исполнителей и обеспечивают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финансирование в пределах своих полномочий;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) исполнители работ, специалисты по благоустройству и озеленению, в том числе возведению малых архитектурных форм;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CD484B" w:rsidRPr="00982F18" w:rsidRDefault="00CD484B" w:rsidP="00CD484B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CD484B" w:rsidRPr="00982F18" w:rsidRDefault="00CD484B" w:rsidP="00CD484B">
      <w:pPr>
        <w:spacing w:after="0" w:line="235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84B" w:rsidRPr="00982F18" w:rsidRDefault="00CD484B" w:rsidP="00CD484B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CD484B" w:rsidRPr="00982F18" w:rsidRDefault="00CD484B" w:rsidP="00CD484B">
      <w:pPr>
        <w:spacing w:after="0" w:line="4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3D093F" w:rsidRDefault="00CD484B" w:rsidP="00CD484B">
      <w:pPr>
        <w:spacing w:after="0" w:line="239" w:lineRule="auto"/>
        <w:ind w:right="-2" w:firstLine="567"/>
        <w:jc w:val="both"/>
        <w:rPr>
          <w:b/>
          <w:sz w:val="24"/>
          <w:szCs w:val="24"/>
        </w:rPr>
      </w:pPr>
      <w:r w:rsidRPr="003D09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CD484B" w:rsidRPr="00982F18" w:rsidRDefault="00CD484B" w:rsidP="00CD484B">
      <w:pPr>
        <w:numPr>
          <w:ilvl w:val="1"/>
          <w:numId w:val="6"/>
        </w:numPr>
        <w:tabs>
          <w:tab w:val="left" w:pos="125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6"/>
        </w:numPr>
        <w:tabs>
          <w:tab w:val="left" w:pos="125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D484B" w:rsidRPr="00982F18" w:rsidRDefault="00CD484B" w:rsidP="00CD484B">
      <w:pPr>
        <w:numPr>
          <w:ilvl w:val="1"/>
          <w:numId w:val="6"/>
        </w:numPr>
        <w:tabs>
          <w:tab w:val="left" w:pos="143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CD484B" w:rsidRPr="00982F18" w:rsidRDefault="00CD484B" w:rsidP="00CD484B">
      <w:pPr>
        <w:numPr>
          <w:ilvl w:val="1"/>
          <w:numId w:val="6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6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CD484B" w:rsidRPr="00982F18" w:rsidRDefault="00CD484B" w:rsidP="00CD484B">
      <w:pPr>
        <w:numPr>
          <w:ilvl w:val="1"/>
          <w:numId w:val="6"/>
        </w:numPr>
        <w:tabs>
          <w:tab w:val="left" w:pos="138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6"/>
        </w:numPr>
        <w:tabs>
          <w:tab w:val="left" w:pos="135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6"/>
        </w:numPr>
        <w:tabs>
          <w:tab w:val="left" w:pos="130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  <w:proofErr w:type="gramEnd"/>
    </w:p>
    <w:p w:rsidR="00CD484B" w:rsidRPr="00982F18" w:rsidRDefault="00CD484B" w:rsidP="00CD484B">
      <w:pPr>
        <w:numPr>
          <w:ilvl w:val="0"/>
          <w:numId w:val="6"/>
        </w:numPr>
        <w:tabs>
          <w:tab w:val="left" w:pos="48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CD484B" w:rsidRPr="00982F18" w:rsidRDefault="00CD484B" w:rsidP="00CD484B">
      <w:pPr>
        <w:numPr>
          <w:ilvl w:val="1"/>
          <w:numId w:val="7"/>
        </w:numPr>
        <w:tabs>
          <w:tab w:val="left" w:pos="152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CD484B" w:rsidRPr="00982F18" w:rsidRDefault="00CD484B" w:rsidP="00CD484B">
      <w:pPr>
        <w:numPr>
          <w:ilvl w:val="1"/>
          <w:numId w:val="8"/>
        </w:numPr>
        <w:tabs>
          <w:tab w:val="left" w:pos="1244"/>
        </w:tabs>
        <w:spacing w:after="0" w:line="238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CD484B" w:rsidRPr="00982F18" w:rsidRDefault="00CD484B" w:rsidP="00CD484B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8"/>
        </w:numPr>
        <w:tabs>
          <w:tab w:val="left" w:pos="136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CD484B" w:rsidRPr="00982F18" w:rsidRDefault="00CD484B" w:rsidP="00CD484B">
      <w:pPr>
        <w:numPr>
          <w:ilvl w:val="1"/>
          <w:numId w:val="8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CD484B" w:rsidRPr="00982F18" w:rsidRDefault="00CD484B" w:rsidP="00CD484B">
      <w:pPr>
        <w:numPr>
          <w:ilvl w:val="1"/>
          <w:numId w:val="8"/>
        </w:numPr>
        <w:tabs>
          <w:tab w:val="left" w:pos="1273"/>
        </w:tabs>
        <w:spacing w:after="0" w:line="241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CD484B" w:rsidRPr="00982F18" w:rsidRDefault="00CD484B" w:rsidP="00CD484B">
      <w:pPr>
        <w:numPr>
          <w:ilvl w:val="0"/>
          <w:numId w:val="9"/>
        </w:numPr>
        <w:tabs>
          <w:tab w:val="left" w:pos="1234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9"/>
        </w:numPr>
        <w:tabs>
          <w:tab w:val="left" w:pos="136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CD484B" w:rsidRPr="00982F18" w:rsidRDefault="00CD484B" w:rsidP="00CD484B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CD484B" w:rsidRPr="00982F18" w:rsidRDefault="00CD484B" w:rsidP="00CD484B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0"/>
        </w:numPr>
        <w:tabs>
          <w:tab w:val="left" w:pos="144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CD484B" w:rsidRPr="00982F18" w:rsidRDefault="00CD484B" w:rsidP="00CD484B">
      <w:pPr>
        <w:numPr>
          <w:ilvl w:val="0"/>
          <w:numId w:val="10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</w:t>
      </w:r>
      <w:r w:rsidR="00796621">
        <w:rPr>
          <w:rFonts w:ascii="Times New Roman" w:eastAsia="Times New Roman" w:hAnsi="Times New Roman" w:cs="Times New Roman"/>
          <w:sz w:val="24"/>
          <w:szCs w:val="24"/>
        </w:rPr>
        <w:t xml:space="preserve">ов Российской Федерации и Республики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а также интерактивных порталов в сети Интернет.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2.4.1. Создание комфортной городской среды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в) в строительстве, реконструкции, реставрации объектов недвижимости; 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) в иных формах.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2.4.3. В реализации комплексных проектов благоустройства могут принимать участие лица, осуществляющие предпринимательскую деятельность в различных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сферах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F1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82F18">
        <w:rPr>
          <w:rFonts w:ascii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том числе в сфере строительства, предоставления услуг общественного питания, оказания услуг в сфере образования и культуры.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CD484B" w:rsidRPr="00982F18" w:rsidRDefault="00CD484B" w:rsidP="00CD484B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3. ТРЕБОВАНИЯ 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ОБЪЕКТАМИ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ЭЛЕМЕНТАМ БЛАГОУСТРОЙСТВА</w:t>
      </w:r>
    </w:p>
    <w:p w:rsidR="00CD484B" w:rsidRPr="00982F18" w:rsidRDefault="00CD484B" w:rsidP="00CD484B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Тыва.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маломобильными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CD484B" w:rsidRPr="00982F18" w:rsidRDefault="00CD484B" w:rsidP="00CD484B">
      <w:pPr>
        <w:numPr>
          <w:ilvl w:val="0"/>
          <w:numId w:val="11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технические зоны транспортных, инженерных коммуникаций,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зоны;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6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CD484B" w:rsidRPr="00982F18" w:rsidRDefault="00CD484B" w:rsidP="00CD484B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CD484B" w:rsidRPr="00982F18" w:rsidRDefault="00CD484B" w:rsidP="00CD484B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участков и прилегающих территорий в соответствии с действующим законодательством, настоящими Правилами.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Организацию уборки общественных территорий сельского поселения осуществляет администрация сельского поселения путем заключения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договоров со специализированным организациям в пределах средств, предусмотренных на эти цели в бюджете муниципального образования.</w:t>
      </w:r>
      <w:proofErr w:type="gramEnd"/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приемных колодцев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во дворах–домовладельцами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 застройщиками; на территориях предприятий и организаций – предприятиями и организациями.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Ведомственные водоотводные сооружения обслуживаются дорожными организациями соответствующих ведомств.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4.4.3. Для складирования мусора и отходов строительного производства на строительной площадке должны быть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оборудованы и огорожены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специально отведенные места или установлен бункер-накопитель.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484B" w:rsidRPr="00982F18" w:rsidRDefault="00CD484B" w:rsidP="00CD484B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1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CD484B" w:rsidRPr="00982F18" w:rsidRDefault="00CD484B" w:rsidP="00CD484B">
      <w:pPr>
        <w:numPr>
          <w:ilvl w:val="1"/>
          <w:numId w:val="12"/>
        </w:numPr>
        <w:tabs>
          <w:tab w:val="left" w:pos="123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12"/>
        </w:numPr>
        <w:tabs>
          <w:tab w:val="left" w:pos="12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</w:p>
    <w:p w:rsidR="00CD484B" w:rsidRPr="00982F18" w:rsidRDefault="00CD484B" w:rsidP="00CD484B">
      <w:pPr>
        <w:numPr>
          <w:ilvl w:val="1"/>
          <w:numId w:val="12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CD484B" w:rsidRPr="00982F18" w:rsidRDefault="00CD484B" w:rsidP="00CD484B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CD484B" w:rsidRPr="00982F18" w:rsidRDefault="00CD484B" w:rsidP="00CD484B">
      <w:pPr>
        <w:spacing w:after="0" w:line="23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3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CD484B" w:rsidRPr="00982F18" w:rsidRDefault="00CD484B" w:rsidP="00CD484B">
      <w:pPr>
        <w:numPr>
          <w:ilvl w:val="0"/>
          <w:numId w:val="13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4.8.2. Обочины дорог и разделительные полосы должны быть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обкошены и очищены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4.8.4. Информационные указатели, километровые знаки,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шумо</w:t>
      </w:r>
      <w:proofErr w:type="spellEnd"/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защитные стенки, металлические ограждения (отбойники), дорожные знаки, парапеты и др. должны быть окрашены в соответствии с существующими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ГОСТами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очищены от грязи и промыты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. Все надписи на указателях должны быть четко различимы.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D484B" w:rsidRPr="00982F18" w:rsidRDefault="00CD484B" w:rsidP="00CD484B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транспортировка груза волоком;</w:t>
      </w:r>
    </w:p>
    <w:p w:rsidR="00CD484B" w:rsidRPr="00982F18" w:rsidRDefault="00CD484B" w:rsidP="00CD484B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14"/>
        </w:numPr>
        <w:tabs>
          <w:tab w:val="left" w:pos="1148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Pr="00982F18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982F18">
        <w:rPr>
          <w:rFonts w:eastAsia="Times New Roman"/>
          <w:bCs/>
          <w:sz w:val="24"/>
          <w:szCs w:val="24"/>
        </w:rPr>
        <w:t>в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чистом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 технически исправном состоянии.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CD484B" w:rsidRPr="00982F18" w:rsidRDefault="00CD484B" w:rsidP="00CD484B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с15</w:t>
      </w:r>
      <w:r w:rsidR="000957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 по</w:t>
      </w:r>
      <w:r w:rsidR="000957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15апреля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CD484B" w:rsidRPr="00982F18" w:rsidRDefault="00CD484B" w:rsidP="00CD484B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5.1.4. В период гололеда посыпка или обработка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противогололедными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CD484B" w:rsidRPr="00982F18" w:rsidRDefault="00CD484B" w:rsidP="00CD484B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15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CD484B" w:rsidRPr="00982F18" w:rsidRDefault="00CD484B" w:rsidP="00CD484B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5.2.Особенности уборки территории в осенне-зимний период.</w:t>
      </w:r>
    </w:p>
    <w:p w:rsidR="00CD484B" w:rsidRPr="00982F18" w:rsidRDefault="00CD484B" w:rsidP="00CD484B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.В период с15апреля до15октября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D484B" w:rsidRPr="00982F18" w:rsidRDefault="00CD484B" w:rsidP="00CD484B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CD484B" w:rsidRPr="00982F18" w:rsidRDefault="00CD484B" w:rsidP="00CD484B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5.3.5. ЗАПРЕЩАЕТСЯ</w:t>
      </w:r>
      <w:r w:rsidR="00095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CD484B" w:rsidRPr="00982F18" w:rsidRDefault="00CD484B" w:rsidP="00CD484B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 ПОРЯДОК СОДЕРЖАНИЯ ЭЛЕМЕНТОВ ОЗЕЛЕНЕНИЯ</w:t>
      </w:r>
    </w:p>
    <w:p w:rsidR="00CD484B" w:rsidRPr="00982F18" w:rsidRDefault="00CD484B" w:rsidP="00CD484B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F909BC"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составляют неприкосновенный зеленый фонд поселения и являются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его муниципальной собственностью, если иное не установлено Федеральным законодательством.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CD484B" w:rsidRPr="00982F18" w:rsidRDefault="00CD484B" w:rsidP="00CD484B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 вырубке аварийно-опасных деревьев, сухостойных деревьев и кустарников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eastAsia="Times New Roman"/>
          <w:sz w:val="24"/>
          <w:szCs w:val="24"/>
        </w:rPr>
        <w:t>в</w:t>
      </w:r>
      <w:proofErr w:type="gramEnd"/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CD484B" w:rsidRPr="00982F18" w:rsidRDefault="00CD484B" w:rsidP="00CD484B">
      <w:pPr>
        <w:numPr>
          <w:ilvl w:val="1"/>
          <w:numId w:val="17"/>
        </w:numPr>
        <w:tabs>
          <w:tab w:val="left" w:pos="1321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17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1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Компенсационная высадка производится из расчета посадки не менее трех зеленых насаждений взамен каждого подлежащего сносу, и производства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за ними сроком до трех лет, либо до полной приживаемости.</w:t>
      </w:r>
    </w:p>
    <w:p w:rsidR="00CD484B" w:rsidRPr="00982F18" w:rsidRDefault="00CD484B" w:rsidP="00CD484B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6.6. Разрешение на снос зеленых насаждений на территориях общего пользования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границах населенных пунктов поселения выдается администрацией района.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CD484B" w:rsidRPr="00982F18" w:rsidRDefault="00CD484B" w:rsidP="00CD484B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среднерослых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деревьев – не ближе 2 метров;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1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09571B" w:rsidRDefault="00CD484B" w:rsidP="00CD484B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6.8. В садах, скверах, парках, лесополосах категорически</w:t>
      </w:r>
      <w:r w:rsidR="0009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D484B" w:rsidRPr="00982F18" w:rsidRDefault="00CD484B" w:rsidP="00CD484B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CD484B" w:rsidRPr="00982F18" w:rsidRDefault="00CD484B" w:rsidP="00CD484B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устраивать свалки мусора и промышленных отходов;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19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CD484B" w:rsidRPr="00982F18" w:rsidRDefault="00CD484B" w:rsidP="00CD484B">
      <w:pPr>
        <w:numPr>
          <w:ilvl w:val="1"/>
          <w:numId w:val="1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самовольную вырубку зеленых насаждений,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19"/>
        </w:numPr>
        <w:tabs>
          <w:tab w:val="left" w:pos="112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spacing w:after="0" w:line="238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6.9. Уход за деревьями и кустарниками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осуществляется в течение всего года и включает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 w:rsidRPr="00982F18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982F18">
        <w:rPr>
          <w:rFonts w:eastAsia="Times New Roman"/>
          <w:bCs/>
          <w:sz w:val="24"/>
          <w:szCs w:val="24"/>
        </w:rPr>
        <w:t>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6.10. Засохшие деревья и кустарники должны быть своевременно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убраны и заменены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токонесущих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обнаружения.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6.11. При производстве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рубочных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производитель работ обязан очистить территорию от остатков обрезков стволов и веток в течение суток.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Ответственность за сохранность зеленых насаждений и уход за </w:t>
      </w:r>
      <w:proofErr w:type="spell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нимивозлагается</w:t>
      </w:r>
      <w:proofErr w:type="spell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0"/>
        </w:numPr>
        <w:tabs>
          <w:tab w:val="left" w:pos="11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CD484B" w:rsidRPr="00982F18" w:rsidRDefault="00CD484B" w:rsidP="00CD484B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ЭКСПЛУАТАЦИИ РЕКЛАМНО-ИНФОРМАЦИОННЫХ ЭЛЕМЕНТОВ</w:t>
      </w:r>
    </w:p>
    <w:p w:rsidR="00CD484B" w:rsidRPr="00982F18" w:rsidRDefault="00CD484B" w:rsidP="00CD484B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7.5. Ущерб, причиненный вследствие нарушения порядка размещения рекламно-информационных элементов, подлежит возмещению добровольно, либо в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судебномпорядке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лицом (юридическим, физическим), в интересах которого реклама была размещена.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43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CD484B" w:rsidRPr="00982F18" w:rsidRDefault="00CD484B" w:rsidP="00CD484B">
      <w:pPr>
        <w:spacing w:after="0" w:line="228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CD484B" w:rsidRPr="00982F18" w:rsidRDefault="00CD484B" w:rsidP="00CD484B">
      <w:pPr>
        <w:spacing w:after="0" w:line="24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8.2. Присвоение номера строению производится на основании Распоряжения главы местной администрации.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CD484B" w:rsidRPr="00982F18" w:rsidRDefault="00CD484B" w:rsidP="00CD484B">
      <w:pPr>
        <w:numPr>
          <w:ilvl w:val="0"/>
          <w:numId w:val="21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1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2"/>
        </w:numPr>
        <w:tabs>
          <w:tab w:val="left" w:pos="113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CD484B" w:rsidRPr="00982F18" w:rsidRDefault="00CD484B" w:rsidP="00CD484B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CD484B" w:rsidRPr="00982F18" w:rsidRDefault="00CD484B" w:rsidP="00CD484B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эксплуатирующих организаций, нанесения трасс коммуникаций на единую схему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  <w:proofErr w:type="gramEnd"/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Правила технического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кВ. (Утверждено Министерством энергетики РФ от 27.12.2002 года.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Министерством РФ по связи и информатизации от 24.04.2003 года).</w:t>
      </w:r>
      <w:proofErr w:type="gramEnd"/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CD484B" w:rsidRPr="00982F18" w:rsidRDefault="00CD484B" w:rsidP="00CD484B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CD484B" w:rsidRPr="00982F18" w:rsidRDefault="00CD484B" w:rsidP="00CD484B">
      <w:pPr>
        <w:numPr>
          <w:ilvl w:val="0"/>
          <w:numId w:val="23"/>
        </w:numPr>
        <w:tabs>
          <w:tab w:val="left" w:pos="1321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CD484B" w:rsidRPr="00982F18" w:rsidRDefault="00CD484B" w:rsidP="00CD484B">
      <w:pPr>
        <w:numPr>
          <w:ilvl w:val="0"/>
          <w:numId w:val="23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3"/>
        </w:numPr>
        <w:tabs>
          <w:tab w:val="left" w:pos="1287"/>
        </w:tabs>
        <w:spacing w:after="0" w:line="239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CD484B" w:rsidRPr="00982F18" w:rsidRDefault="00CD484B" w:rsidP="00CD484B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31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CD484B" w:rsidRPr="00982F18" w:rsidRDefault="00CD484B" w:rsidP="00CD484B">
      <w:pPr>
        <w:spacing w:after="0" w:line="188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4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CD484B" w:rsidRPr="00982F18" w:rsidRDefault="00CD484B" w:rsidP="00CD484B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согласованного проекта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 санитарно-эпидемиологическим надзором, при этом должно быть соблюдено целевое назначение земельного участка</w:t>
      </w:r>
    </w:p>
    <w:p w:rsidR="00CD484B" w:rsidRPr="00982F18" w:rsidRDefault="00CD484B" w:rsidP="00CD484B">
      <w:pPr>
        <w:spacing w:after="0" w:line="8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CD484B" w:rsidRPr="00982F18" w:rsidRDefault="00CD484B" w:rsidP="00CD484B">
      <w:pPr>
        <w:numPr>
          <w:ilvl w:val="0"/>
          <w:numId w:val="24"/>
        </w:numPr>
        <w:tabs>
          <w:tab w:val="left" w:pos="116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CD484B" w:rsidRPr="00982F18" w:rsidRDefault="00CD484B" w:rsidP="00CD484B">
      <w:pPr>
        <w:numPr>
          <w:ilvl w:val="0"/>
          <w:numId w:val="24"/>
        </w:numPr>
        <w:tabs>
          <w:tab w:val="left" w:pos="1196"/>
        </w:tabs>
        <w:spacing w:after="0" w:line="273" w:lineRule="exact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CD484B" w:rsidRPr="00982F18" w:rsidRDefault="00CD484B" w:rsidP="00CD484B">
      <w:pPr>
        <w:numPr>
          <w:ilvl w:val="0"/>
          <w:numId w:val="24"/>
        </w:numPr>
        <w:tabs>
          <w:tab w:val="left" w:pos="1335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CD484B" w:rsidRPr="00982F18" w:rsidRDefault="00CD484B" w:rsidP="00CD484B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25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CD484B" w:rsidRPr="00982F18" w:rsidRDefault="00CD484B" w:rsidP="00CD484B">
      <w:pPr>
        <w:numPr>
          <w:ilvl w:val="1"/>
          <w:numId w:val="25"/>
        </w:numPr>
        <w:tabs>
          <w:tab w:val="left" w:pos="1162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5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6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6"/>
        </w:numPr>
        <w:tabs>
          <w:tab w:val="left" w:pos="112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любую информационно-печатную продукцию на малых архитектурных формах;</w:t>
      </w:r>
    </w:p>
    <w:p w:rsidR="00CD484B" w:rsidRPr="00982F18" w:rsidRDefault="00CD484B" w:rsidP="00CD484B">
      <w:pPr>
        <w:numPr>
          <w:ilvl w:val="0"/>
          <w:numId w:val="26"/>
        </w:numPr>
        <w:tabs>
          <w:tab w:val="left" w:pos="1153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малые архитектурные формы и их конструктивные элементы.</w:t>
      </w:r>
    </w:p>
    <w:p w:rsidR="00CD484B" w:rsidRPr="00982F18" w:rsidRDefault="00CD484B" w:rsidP="00CD484B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CD484B" w:rsidRPr="00982F18" w:rsidRDefault="00CD484B" w:rsidP="00CD484B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11.1. 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:rsidR="00CD484B" w:rsidRPr="00982F18" w:rsidRDefault="00CD484B" w:rsidP="00CD484B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CD484B" w:rsidRPr="00982F18" w:rsidRDefault="00CD484B" w:rsidP="00CD484B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ИГОРОВЫЕ И СПОРТИВНЫЕ ПЛОЩАДКИ</w:t>
      </w:r>
    </w:p>
    <w:p w:rsidR="00CD484B" w:rsidRPr="00982F18" w:rsidRDefault="00CD484B" w:rsidP="00CD484B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CD484B" w:rsidRPr="00982F18" w:rsidRDefault="00CD484B" w:rsidP="00CD484B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автотранспортных средств принимается согласно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: от площадок мусоросборников не менее 15 метров.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CD484B" w:rsidRPr="00982F18" w:rsidRDefault="00CD484B" w:rsidP="00CD484B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12.1.4. Обязательный перечень элементов благоустройства территории на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детскойигровой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  <w:proofErr w:type="gramEnd"/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D484B" w:rsidRPr="00982F18" w:rsidRDefault="00CD484B" w:rsidP="00CD484B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мусором, бытовыми крупногабаритными отходами;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разукомплектованные транспортные средства;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7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 зимний период складировать снежные массы с проездов и внутри домовых территорий.</w:t>
      </w:r>
    </w:p>
    <w:p w:rsidR="00CD484B" w:rsidRPr="00982F18" w:rsidRDefault="00CD484B" w:rsidP="00CD484B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CD484B" w:rsidRPr="00982F18" w:rsidRDefault="00CD484B" w:rsidP="00CD484B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всоответствии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 установленными правилами и нормами технической эксплуатации.</w:t>
      </w:r>
    </w:p>
    <w:p w:rsidR="00CD484B" w:rsidRPr="00982F18" w:rsidRDefault="00CD484B" w:rsidP="00CD484B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13.4. Все вновь возводимые усадебные, одно-, двухквартирные жилые дома должны быть расположены на расстоянии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484B" w:rsidRPr="00982F18" w:rsidRDefault="00CD484B" w:rsidP="00CD484B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CD484B" w:rsidRPr="00982F18" w:rsidRDefault="00CD484B" w:rsidP="00CD484B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CD484B" w:rsidRPr="00982F18" w:rsidRDefault="00CD484B" w:rsidP="00CD484B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2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CD484B" w:rsidRPr="00982F18" w:rsidRDefault="00CD484B" w:rsidP="00CD484B">
      <w:pPr>
        <w:numPr>
          <w:ilvl w:val="0"/>
          <w:numId w:val="30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30"/>
        </w:numPr>
        <w:tabs>
          <w:tab w:val="left" w:pos="111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Ответственность за исправность номерного знака несет владелец дома.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CD484B" w:rsidRPr="00982F18" w:rsidRDefault="00CD484B" w:rsidP="00CD484B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5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CD484B" w:rsidRPr="00982F18" w:rsidRDefault="00CD484B" w:rsidP="00CD484B">
      <w:pPr>
        <w:spacing w:after="0" w:line="217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сельского поселения.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CD484B" w:rsidRPr="00982F18" w:rsidRDefault="00CD484B" w:rsidP="00CD484B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CD484B" w:rsidRPr="00982F18" w:rsidRDefault="00CD484B" w:rsidP="00CD484B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производства работ, согласованных сельского поселения;</w:t>
      </w:r>
    </w:p>
    <w:p w:rsidR="00CD484B" w:rsidRPr="00982F18" w:rsidRDefault="00CD484B" w:rsidP="00CD484B">
      <w:pPr>
        <w:numPr>
          <w:ilvl w:val="1"/>
          <w:numId w:val="31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14.7. Выполнение строительства (ремонта) подземных коммуникаций, капитального ремонта тротуаров и прочих земляных работ без получения разрешения,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каквыполнение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не указанных в разрешении видов работ,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является самовольным и влечет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юридических и физических лиц, предусмотренную действующим законодательством.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CD484B" w:rsidRPr="00982F18" w:rsidRDefault="00CD484B" w:rsidP="00CD484B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CD484B" w:rsidRPr="00982F18" w:rsidRDefault="00CD484B" w:rsidP="00CD484B">
      <w:pPr>
        <w:numPr>
          <w:ilvl w:val="1"/>
          <w:numId w:val="32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32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14.9.4. При производстве работ плодородный слой почвы должен быть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снят и использован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 восстановлении разрытия.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14.9.9.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утвержденнойсогласованной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14.9.10. Схемы всех видов работ в пределах полосы отвода дороги или в «красных линиях»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утверждаются и согласовываются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 владельцем автомобильной дороги.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CD484B" w:rsidRPr="00982F18" w:rsidRDefault="00CD484B" w:rsidP="00CD484B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15. БЛАГОУСТРОЙСТВО НА ТЕРРИТОРИЯХОБЩЕСТВЕННОГО НАЗНАЧЕНИЯ</w:t>
      </w:r>
    </w:p>
    <w:p w:rsidR="00CD484B" w:rsidRPr="00982F18" w:rsidRDefault="00CD484B" w:rsidP="00CD484B">
      <w:pPr>
        <w:spacing w:after="0" w:line="190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CD484B" w:rsidRPr="00982F18" w:rsidRDefault="00CD484B" w:rsidP="00CD484B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маломобильные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CD484B" w:rsidRPr="00982F18" w:rsidRDefault="00CD484B" w:rsidP="00CD484B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CD484B" w:rsidRPr="00982F18" w:rsidRDefault="00CD484B" w:rsidP="00CD484B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15.2.1. Общественные пространства сельского поселения включают пешеходные коммуникации, пешеходные зоны, участки активно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посещаемойобщественной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застройки, участки озеленения, расположенные в составе населенного пункта.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CD484B" w:rsidRPr="00982F18" w:rsidRDefault="00CD484B" w:rsidP="00CD484B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ТЕРРИТОРИЯХЖИЛОГО НАЗНАЧЕНИЯ</w:t>
      </w:r>
    </w:p>
    <w:p w:rsidR="00CD484B" w:rsidRPr="00982F18" w:rsidRDefault="00CD484B" w:rsidP="00CD484B">
      <w:pPr>
        <w:spacing w:after="0" w:line="238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CD484B" w:rsidRPr="00982F18" w:rsidRDefault="00CD484B" w:rsidP="00CD484B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CD484B" w:rsidRPr="00982F18" w:rsidRDefault="00CD484B" w:rsidP="00CD484B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16.2.2. Для учреждений обслуживания с большим количеством посетителей следует предусматривать устройство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автостоянок.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элементы сопряжения поверхностей, урны, малые контейнеры для мусора, осветительное оборудование, носители информации.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CD484B" w:rsidRPr="00982F18" w:rsidRDefault="00CD484B" w:rsidP="00CD484B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CD484B" w:rsidRPr="00982F18" w:rsidRDefault="00CD484B" w:rsidP="00CD484B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58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17. БЛАГОУСТРОЙСТВО НА ТЕРРИТОРИЯХ РЕКРЕАЦИОННОГО НАЗНАЧЕНИЯ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17.2. Зоны отдыха - территории, предназначенные и обустроенные для организации активного массового отдыха, рекреации.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Default="00CD484B" w:rsidP="00CD484B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CD484B" w:rsidRPr="00982F18" w:rsidRDefault="00CD484B" w:rsidP="00CD484B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84B" w:rsidRPr="00982F18" w:rsidRDefault="00CD484B" w:rsidP="00CD484B">
      <w:pPr>
        <w:spacing w:after="0" w:line="241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CD484B" w:rsidRPr="00982F18" w:rsidRDefault="00CD484B" w:rsidP="00CD484B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CD484B" w:rsidRPr="00982F18" w:rsidRDefault="00CD484B" w:rsidP="00CD484B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CD484B" w:rsidRPr="00982F18" w:rsidRDefault="00CD484B" w:rsidP="00CD484B">
      <w:pPr>
        <w:numPr>
          <w:ilvl w:val="0"/>
          <w:numId w:val="33"/>
        </w:numPr>
        <w:tabs>
          <w:tab w:val="left" w:pos="4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.2.1/2.1.1.1200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84B" w:rsidRPr="00982F18" w:rsidRDefault="00CD484B" w:rsidP="00CD484B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CD484B" w:rsidRPr="00982F18" w:rsidRDefault="00CD484B" w:rsidP="00CD484B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CD484B" w:rsidRPr="00982F18" w:rsidRDefault="00CD484B" w:rsidP="00CD484B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19.2. Освещение территории поселения осуществляются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энергоснабжающими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светопланировочных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задач, в том числе, при необходимости, светоцветового зонирования территорий муниципального образования и формирования системы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светопространственных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ансамблей.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34"/>
        </w:numPr>
        <w:tabs>
          <w:tab w:val="left" w:pos="117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23-05);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34"/>
        </w:numPr>
        <w:tabs>
          <w:tab w:val="left" w:pos="1153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34"/>
        </w:numPr>
        <w:tabs>
          <w:tab w:val="left" w:pos="117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CD484B" w:rsidRPr="00982F18" w:rsidRDefault="00CD484B" w:rsidP="00CD484B">
      <w:pPr>
        <w:numPr>
          <w:ilvl w:val="0"/>
          <w:numId w:val="34"/>
        </w:numPr>
        <w:tabs>
          <w:tab w:val="left" w:pos="113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CD484B" w:rsidRPr="00982F18" w:rsidRDefault="00CD484B" w:rsidP="00CD484B">
      <w:pPr>
        <w:numPr>
          <w:ilvl w:val="0"/>
          <w:numId w:val="34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ств в тр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анспортных и пешеходных зонах.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Установки ФО подразделяются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: обычные,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высокомачтовые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парапетные, газонные и встроенные.</w:t>
      </w:r>
    </w:p>
    <w:p w:rsidR="00CD484B" w:rsidRPr="00982F18" w:rsidRDefault="00CD484B" w:rsidP="00CD484B">
      <w:pPr>
        <w:numPr>
          <w:ilvl w:val="0"/>
          <w:numId w:val="35"/>
        </w:numPr>
        <w:tabs>
          <w:tab w:val="left" w:pos="1374"/>
        </w:tabs>
        <w:spacing w:after="0" w:line="247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Эти установки использовать для освещения обширных пространств, транспортных развязок и магистралей.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35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парапетных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светографические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световодов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световые проекции, лазерные рисунки и т.п.</w:t>
      </w:r>
    </w:p>
    <w:p w:rsidR="00CD484B" w:rsidRPr="00982F18" w:rsidRDefault="00CD484B" w:rsidP="00CD484B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19.8. В стационарных установках ФО и АО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  <w:proofErr w:type="gramEnd"/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Применение светильников с неограниченным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светораспределением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нафасадах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19.10. Для освещения проезжей части улиц и сопутствующих им тротуаров в зонах интенсивного пешеходного движения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двухконсольные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разноспектральными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света.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CD484B" w:rsidRPr="00982F18" w:rsidRDefault="00CD484B" w:rsidP="00CD484B">
      <w:pPr>
        <w:numPr>
          <w:ilvl w:val="0"/>
          <w:numId w:val="36"/>
        </w:numPr>
        <w:tabs>
          <w:tab w:val="left" w:pos="125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пешеходных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зонах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высоту установки светильников на опорах принимать не менее 3,5 м и не более 5,5 м.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CD484B" w:rsidRPr="00982F18" w:rsidRDefault="00CD484B" w:rsidP="00CD484B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 ОСОБЫЕ УСЛОВИЯ УБОРКИ И БЛАГОУСТРОЙСТВА</w:t>
      </w:r>
    </w:p>
    <w:p w:rsidR="00CD484B" w:rsidRPr="00982F18" w:rsidRDefault="00CD484B" w:rsidP="00CD484B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5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Вывозить и выгружать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бытовой, строительный мусор и грунт, промышленные отходы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хозфекальные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CD484B" w:rsidRPr="00982F18" w:rsidRDefault="00CD484B" w:rsidP="00CD484B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CD484B" w:rsidRPr="00982F18" w:rsidRDefault="00CD484B" w:rsidP="00CD484B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20.1.5. Сметать мусор на проезжую часть улиц, в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ливнеприемники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ливневой канализации.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20.2.2.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Устраивать и использовать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сливные ямы с нарушением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установленныхнорм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84B" w:rsidRPr="00982F18" w:rsidRDefault="00CD484B" w:rsidP="00CD484B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CD484B" w:rsidRPr="00982F18" w:rsidRDefault="00CD484B" w:rsidP="00CD484B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Pr="00982F18">
        <w:rPr>
          <w:sz w:val="24"/>
          <w:szCs w:val="24"/>
        </w:rPr>
        <w:t xml:space="preserve"> 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20.2.9. Загромождать (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20.2.10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20.2.11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20.2.14.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Хранить и размещать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CD484B" w:rsidRPr="00982F18" w:rsidRDefault="00CD484B" w:rsidP="00CD484B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CD484B" w:rsidRPr="00982F18" w:rsidRDefault="00CD484B" w:rsidP="00CD484B">
      <w:pPr>
        <w:spacing w:after="0" w:line="256" w:lineRule="auto"/>
        <w:ind w:right="-2" w:firstLine="567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20.3.3. Выгуливать собак без намордников в местах общего пользования.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CD484B" w:rsidRPr="00982F18" w:rsidRDefault="00CD484B" w:rsidP="00CD484B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CD484B" w:rsidRPr="00982F18" w:rsidRDefault="00CD484B" w:rsidP="00CD484B">
      <w:pPr>
        <w:spacing w:after="0" w:line="23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CD484B" w:rsidRPr="00982F18" w:rsidRDefault="00CD484B" w:rsidP="00CD484B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CD484B" w:rsidRPr="00982F18" w:rsidRDefault="00CD484B" w:rsidP="00CD484B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CD484B" w:rsidRPr="00982F18" w:rsidRDefault="00CD484B" w:rsidP="00CD484B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CD484B" w:rsidRPr="00141C69" w:rsidRDefault="00CD484B" w:rsidP="00CD484B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22. </w:t>
      </w:r>
      <w:r w:rsidRPr="00141C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 ОПРЕДЕЛЕНИЯ ГРАНИЦ ПРИЛЕГАЮЩИХ ТЕРРИТОРИЙ</w:t>
      </w:r>
    </w:p>
    <w:p w:rsidR="00CD484B" w:rsidRDefault="00CD484B" w:rsidP="00CD484B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Г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раницы прилегающих территорий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-е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сли иное не установлено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договорамиаренды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484B" w:rsidRPr="00F909BC" w:rsidRDefault="00CD484B" w:rsidP="00CD484B">
      <w:pPr>
        <w:numPr>
          <w:ilvl w:val="0"/>
          <w:numId w:val="3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CD484B" w:rsidRPr="00F909BC" w:rsidRDefault="00CD484B" w:rsidP="00CD484B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и10метров </w:t>
      </w:r>
      <w:proofErr w:type="spellStart"/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затротуаром</w:t>
      </w:r>
      <w:proofErr w:type="spellEnd"/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:rsidR="00CD484B" w:rsidRPr="00F909BC" w:rsidRDefault="00CD484B" w:rsidP="00CD484B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484B" w:rsidRPr="00817246" w:rsidRDefault="00CD484B" w:rsidP="00CD484B">
      <w:pPr>
        <w:numPr>
          <w:ilvl w:val="0"/>
          <w:numId w:val="3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включая10-метровую зеленую зону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484B" w:rsidRPr="00817246" w:rsidRDefault="00CD484B" w:rsidP="00CD484B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84B" w:rsidRPr="00817246" w:rsidRDefault="00CD484B" w:rsidP="00CD484B">
      <w:pPr>
        <w:numPr>
          <w:ilvl w:val="0"/>
          <w:numId w:val="3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строительных площадках - территория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менее15метров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CD484B" w:rsidRPr="00817246" w:rsidRDefault="00CD484B" w:rsidP="00CD484B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84B" w:rsidRPr="00817246" w:rsidRDefault="00CD484B" w:rsidP="00CD484B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менее10метров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484B" w:rsidRPr="00817246" w:rsidRDefault="00CD484B" w:rsidP="00CD484B">
      <w:pPr>
        <w:numPr>
          <w:ilvl w:val="0"/>
          <w:numId w:val="3"/>
        </w:numPr>
        <w:tabs>
          <w:tab w:val="left" w:pos="13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CD484B" w:rsidRPr="00817246" w:rsidRDefault="00CD484B" w:rsidP="00CD484B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84B" w:rsidRPr="00817246" w:rsidRDefault="00CD484B" w:rsidP="00CD484B">
      <w:pPr>
        <w:numPr>
          <w:ilvl w:val="0"/>
          <w:numId w:val="4"/>
        </w:numPr>
        <w:tabs>
          <w:tab w:val="left" w:pos="12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CD484B" w:rsidRPr="00817246" w:rsidRDefault="00CD484B" w:rsidP="00CD484B">
      <w:pPr>
        <w:numPr>
          <w:ilvl w:val="0"/>
          <w:numId w:val="4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CD484B" w:rsidRPr="00817246" w:rsidRDefault="00CD484B" w:rsidP="00CD484B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84B" w:rsidRPr="00817246" w:rsidRDefault="00CD484B" w:rsidP="00CD484B">
      <w:pPr>
        <w:numPr>
          <w:ilvl w:val="0"/>
          <w:numId w:val="4"/>
        </w:numPr>
        <w:tabs>
          <w:tab w:val="left" w:pos="129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автокооперативы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– на расстоянии до основных автомобильных дорог, в отсутствие таковых на площади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CD484B" w:rsidRPr="00817246" w:rsidRDefault="00CD484B" w:rsidP="00CD484B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84B" w:rsidRPr="00817246" w:rsidRDefault="00CD484B" w:rsidP="00CD484B">
      <w:pPr>
        <w:numPr>
          <w:ilvl w:val="0"/>
          <w:numId w:val="4"/>
        </w:numPr>
        <w:tabs>
          <w:tab w:val="left" w:pos="141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т.ч. палатки,</w:t>
      </w:r>
      <w:proofErr w:type="gramEnd"/>
    </w:p>
    <w:p w:rsidR="00CD484B" w:rsidRPr="00817246" w:rsidRDefault="00CD484B" w:rsidP="00CD484B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84B" w:rsidRPr="00817246" w:rsidRDefault="00CD484B" w:rsidP="00CD484B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до25метров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484B" w:rsidRPr="00817246" w:rsidRDefault="00CD484B" w:rsidP="00CD484B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84B" w:rsidRPr="00817246" w:rsidRDefault="00CD484B" w:rsidP="00CD484B">
      <w:pPr>
        <w:numPr>
          <w:ilvl w:val="0"/>
          <w:numId w:val="4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CD484B" w:rsidRPr="00817246" w:rsidRDefault="00CD484B" w:rsidP="00CD484B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84B" w:rsidRPr="00817246" w:rsidRDefault="00CD484B" w:rsidP="00CD484B">
      <w:pPr>
        <w:numPr>
          <w:ilvl w:val="0"/>
          <w:numId w:val="4"/>
        </w:numPr>
        <w:tabs>
          <w:tab w:val="left" w:pos="142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подлежит15метров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  <w:bookmarkStart w:id="0" w:name="_GoBack"/>
      <w:bookmarkEnd w:id="0"/>
    </w:p>
    <w:p w:rsidR="00CD484B" w:rsidRPr="00817246" w:rsidRDefault="00CD484B" w:rsidP="00CD484B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84B" w:rsidRPr="00817246" w:rsidRDefault="00CD484B" w:rsidP="00CD484B">
      <w:pPr>
        <w:numPr>
          <w:ilvl w:val="0"/>
          <w:numId w:val="4"/>
        </w:numPr>
        <w:tabs>
          <w:tab w:val="left" w:pos="144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</w:t>
      </w: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отдельности) </w:t>
      </w:r>
      <w:proofErr w:type="gramEnd"/>
      <w:r w:rsidRPr="00817246">
        <w:rPr>
          <w:rFonts w:ascii="Times New Roman" w:eastAsia="Times New Roman" w:hAnsi="Times New Roman" w:cs="Times New Roman"/>
          <w:sz w:val="24"/>
          <w:szCs w:val="24"/>
        </w:rPr>
        <w:t>уборка производится каждой из сторон на равновеликие расстояния;</w:t>
      </w:r>
    </w:p>
    <w:p w:rsidR="00CD484B" w:rsidRPr="00817246" w:rsidRDefault="00CD484B" w:rsidP="00CD484B">
      <w:pPr>
        <w:numPr>
          <w:ilvl w:val="0"/>
          <w:numId w:val="5"/>
        </w:numPr>
        <w:tabs>
          <w:tab w:val="left" w:pos="14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CD484B" w:rsidRPr="00982F18" w:rsidRDefault="00CD484B" w:rsidP="00CD484B">
      <w:pPr>
        <w:numPr>
          <w:ilvl w:val="0"/>
          <w:numId w:val="5"/>
        </w:numPr>
        <w:tabs>
          <w:tab w:val="left" w:pos="148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многоквартирных домов: в пределах </w:t>
      </w:r>
      <w:proofErr w:type="spellStart"/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границ</w:t>
      </w: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817246">
        <w:rPr>
          <w:rFonts w:ascii="Times New Roman" w:eastAsia="Times New Roman" w:hAnsi="Times New Roman" w:cs="Times New Roman"/>
          <w:sz w:val="24"/>
          <w:szCs w:val="24"/>
        </w:rPr>
        <w:t>становленных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всоответствии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площади помещений многоквартирных жилых домов, расположенных по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817246" w:rsidRDefault="00CD484B" w:rsidP="00CD484B">
      <w:pPr>
        <w:numPr>
          <w:ilvl w:val="0"/>
          <w:numId w:val="5"/>
        </w:numPr>
        <w:tabs>
          <w:tab w:val="left" w:pos="1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CD484B" w:rsidRPr="00817246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CD484B" w:rsidRPr="00817246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CD484B" w:rsidRPr="00817246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CD484B" w:rsidRPr="00817246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CD484B" w:rsidRPr="00817246" w:rsidRDefault="00CD484B" w:rsidP="00CD484B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3) иные территории общего пользования, установленные правилами благоустройства,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заисключением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Границы прилегающей территории</w:t>
      </w:r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соответствии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Границы прилегающей территории определяются с учетом следующих ограничений:</w:t>
      </w:r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(общие) границы с другими прилегающими территориями (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исключения вклинивания, </w:t>
      </w:r>
      <w:proofErr w:type="spell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вкрапливания</w:t>
      </w:r>
      <w:proofErr w:type="spellEnd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  <w:proofErr w:type="gramEnd"/>
    </w:p>
    <w:p w:rsidR="00CD484B" w:rsidRPr="002B18EE" w:rsidRDefault="00CD484B" w:rsidP="00CD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proofErr w:type="gramEnd"/>
    </w:p>
    <w:p w:rsidR="00CD484B" w:rsidRPr="002B18EE" w:rsidRDefault="00CD484B" w:rsidP="00CD484B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84B" w:rsidRPr="00982F18" w:rsidRDefault="00CD484B" w:rsidP="00CD484B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И ОТВЕТСТВЕННОСТЬ ЗА НАРУШЕНИЕ ПРАВИЛ БЛАГОУСРОЙСТВА</w:t>
      </w:r>
    </w:p>
    <w:p w:rsidR="00CD484B" w:rsidRPr="00982F18" w:rsidRDefault="00CD484B" w:rsidP="00CD484B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22.1.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 осуществляют:</w:t>
      </w:r>
    </w:p>
    <w:p w:rsidR="00CD484B" w:rsidRPr="00982F18" w:rsidRDefault="00CD484B" w:rsidP="00CD484B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37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органы контроля, осуществляющие деятельность по обеспечению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реализации полномочий органов местного самоуправления муниципальных образований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484B" w:rsidRPr="00982F18" w:rsidRDefault="00CD484B" w:rsidP="00CD484B">
      <w:pPr>
        <w:numPr>
          <w:ilvl w:val="0"/>
          <w:numId w:val="37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уполномоченные должностные лица администрации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Соснвского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CD484B" w:rsidRPr="00982F18" w:rsidRDefault="00CD484B" w:rsidP="00CD484B">
      <w:pPr>
        <w:numPr>
          <w:ilvl w:val="0"/>
          <w:numId w:val="37"/>
        </w:numPr>
        <w:tabs>
          <w:tab w:val="left" w:pos="11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CD484B" w:rsidRPr="00982F18" w:rsidRDefault="00CD484B" w:rsidP="00CD484B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37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numPr>
          <w:ilvl w:val="0"/>
          <w:numId w:val="37"/>
        </w:numPr>
        <w:tabs>
          <w:tab w:val="left" w:pos="126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другие уполномоченные 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санитарного содержания населенного пункта;</w:t>
      </w:r>
    </w:p>
    <w:p w:rsidR="00CD484B" w:rsidRPr="00982F18" w:rsidRDefault="00CD484B" w:rsidP="00CD484B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22.2.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CD484B" w:rsidRPr="00982F18" w:rsidRDefault="00CD484B" w:rsidP="00CD484B">
      <w:pPr>
        <w:spacing w:after="0" w:line="8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484B" w:rsidRPr="00982F18" w:rsidRDefault="00CD484B" w:rsidP="00CD484B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22.3.В случая выявления фактов, нарушающих требования настоящих Правил, должностным лицом Администрации сельского поселения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готовитсяписьменное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CD484B" w:rsidRPr="00982F18" w:rsidRDefault="00CD484B" w:rsidP="00CD484B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484B" w:rsidRPr="00982F18" w:rsidRDefault="00CD484B" w:rsidP="00CD484B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CD484B" w:rsidRPr="00982F18" w:rsidRDefault="00CD484B" w:rsidP="00CD484B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22.4.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CD484B" w:rsidRPr="00982F18" w:rsidRDefault="00CD484B" w:rsidP="00CD484B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23.5.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CD484B" w:rsidRPr="00982F18" w:rsidRDefault="00CD484B" w:rsidP="00CD484B">
      <w:pPr>
        <w:spacing w:after="0" w:line="241" w:lineRule="auto"/>
        <w:ind w:right="-2" w:firstLine="567"/>
        <w:jc w:val="both"/>
        <w:rPr>
          <w:sz w:val="24"/>
          <w:szCs w:val="24"/>
        </w:rPr>
      </w:pPr>
    </w:p>
    <w:p w:rsidR="001909BF" w:rsidRPr="00CD484B" w:rsidRDefault="001909BF" w:rsidP="00CD48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09BF" w:rsidRPr="00CD484B" w:rsidSect="00C51F6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</w:lvl>
    <w:lvl w:ilvl="1" w:tplc="99502A54">
      <w:start w:val="1"/>
      <w:numFmt w:val="decimal"/>
      <w:lvlText w:val="%2)"/>
      <w:lvlJc w:val="left"/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6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4">
    <w:nsid w:val="000056AE"/>
    <w:multiLevelType w:val="hybridMultilevel"/>
    <w:tmpl w:val="58820D58"/>
    <w:lvl w:ilvl="0" w:tplc="6486E0A0">
      <w:start w:val="1"/>
      <w:numFmt w:val="bullet"/>
      <w:lvlText w:val="и"/>
      <w:lvlJc w:val="left"/>
    </w:lvl>
    <w:lvl w:ilvl="1" w:tplc="0F70B020">
      <w:start w:val="1"/>
      <w:numFmt w:val="decimal"/>
      <w:lvlText w:val="%2)"/>
      <w:lvlJc w:val="left"/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8">
    <w:nsid w:val="00005F32"/>
    <w:multiLevelType w:val="hybridMultilevel"/>
    <w:tmpl w:val="02DC1252"/>
    <w:lvl w:ilvl="0" w:tplc="5240CCC6">
      <w:start w:val="1"/>
      <w:numFmt w:val="bullet"/>
      <w:lvlText w:val="-"/>
      <w:lvlJc w:val="left"/>
    </w:lvl>
    <w:lvl w:ilvl="1" w:tplc="5734C736">
      <w:numFmt w:val="decimal"/>
      <w:lvlText w:val=""/>
      <w:lvlJc w:val="left"/>
    </w:lvl>
    <w:lvl w:ilvl="2" w:tplc="D76CD658">
      <w:numFmt w:val="decimal"/>
      <w:lvlText w:val=""/>
      <w:lvlJc w:val="left"/>
    </w:lvl>
    <w:lvl w:ilvl="3" w:tplc="77A8F470">
      <w:numFmt w:val="decimal"/>
      <w:lvlText w:val=""/>
      <w:lvlJc w:val="left"/>
    </w:lvl>
    <w:lvl w:ilvl="4" w:tplc="0282AF8C">
      <w:numFmt w:val="decimal"/>
      <w:lvlText w:val=""/>
      <w:lvlJc w:val="left"/>
    </w:lvl>
    <w:lvl w:ilvl="5" w:tplc="28640444">
      <w:numFmt w:val="decimal"/>
      <w:lvlText w:val=""/>
      <w:lvlJc w:val="left"/>
    </w:lvl>
    <w:lvl w:ilvl="6" w:tplc="23D4C27C">
      <w:numFmt w:val="decimal"/>
      <w:lvlText w:val=""/>
      <w:lvlJc w:val="left"/>
    </w:lvl>
    <w:lvl w:ilvl="7" w:tplc="9ACAC8D8">
      <w:numFmt w:val="decimal"/>
      <w:lvlText w:val=""/>
      <w:lvlJc w:val="left"/>
    </w:lvl>
    <w:lvl w:ilvl="8" w:tplc="A1FCB36C">
      <w:numFmt w:val="decimal"/>
      <w:lvlText w:val=""/>
      <w:lvlJc w:val="left"/>
    </w:lvl>
  </w:abstractNum>
  <w:abstractNum w:abstractNumId="29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30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1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2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3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4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5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6">
    <w:nsid w:val="00007FF5"/>
    <w:multiLevelType w:val="hybridMultilevel"/>
    <w:tmpl w:val="538C7A9E"/>
    <w:lvl w:ilvl="0" w:tplc="905ED04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24"/>
  </w:num>
  <w:num w:numId="7">
    <w:abstractNumId w:val="2"/>
  </w:num>
  <w:num w:numId="8">
    <w:abstractNumId w:val="0"/>
  </w:num>
  <w:num w:numId="9">
    <w:abstractNumId w:val="33"/>
  </w:num>
  <w:num w:numId="10">
    <w:abstractNumId w:val="6"/>
  </w:num>
  <w:num w:numId="11">
    <w:abstractNumId w:val="20"/>
  </w:num>
  <w:num w:numId="12">
    <w:abstractNumId w:val="25"/>
  </w:num>
  <w:num w:numId="13">
    <w:abstractNumId w:val="32"/>
  </w:num>
  <w:num w:numId="14">
    <w:abstractNumId w:val="27"/>
  </w:num>
  <w:num w:numId="15">
    <w:abstractNumId w:val="15"/>
  </w:num>
  <w:num w:numId="16">
    <w:abstractNumId w:val="28"/>
  </w:num>
  <w:num w:numId="17">
    <w:abstractNumId w:val="14"/>
  </w:num>
  <w:num w:numId="18">
    <w:abstractNumId w:val="13"/>
  </w:num>
  <w:num w:numId="19">
    <w:abstractNumId w:val="34"/>
  </w:num>
  <w:num w:numId="20">
    <w:abstractNumId w:val="29"/>
  </w:num>
  <w:num w:numId="21">
    <w:abstractNumId w:val="21"/>
  </w:num>
  <w:num w:numId="22">
    <w:abstractNumId w:val="10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  <w:num w:numId="27">
    <w:abstractNumId w:val="5"/>
  </w:num>
  <w:num w:numId="28">
    <w:abstractNumId w:val="12"/>
  </w:num>
  <w:num w:numId="29">
    <w:abstractNumId w:val="31"/>
  </w:num>
  <w:num w:numId="30">
    <w:abstractNumId w:val="18"/>
  </w:num>
  <w:num w:numId="31">
    <w:abstractNumId w:val="30"/>
  </w:num>
  <w:num w:numId="32">
    <w:abstractNumId w:val="7"/>
  </w:num>
  <w:num w:numId="33">
    <w:abstractNumId w:val="23"/>
  </w:num>
  <w:num w:numId="34">
    <w:abstractNumId w:val="16"/>
  </w:num>
  <w:num w:numId="35">
    <w:abstractNumId w:val="26"/>
  </w:num>
  <w:num w:numId="36">
    <w:abstractNumId w:val="17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84B"/>
    <w:rsid w:val="0009571B"/>
    <w:rsid w:val="000B67EC"/>
    <w:rsid w:val="001909BF"/>
    <w:rsid w:val="00796621"/>
    <w:rsid w:val="00C51F6C"/>
    <w:rsid w:val="00CD484B"/>
    <w:rsid w:val="00E1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8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15255</Words>
  <Characters>86960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2019-02-12T15:21:00Z</dcterms:created>
  <dcterms:modified xsi:type="dcterms:W3CDTF">2019-02-14T02:51:00Z</dcterms:modified>
</cp:coreProperties>
</file>