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2A" w:rsidRPr="00F04428" w:rsidRDefault="00934321" w:rsidP="00F04428">
      <w:pPr>
        <w:pStyle w:val="a3"/>
        <w:tabs>
          <w:tab w:val="left" w:pos="567"/>
        </w:tabs>
        <w:spacing w:line="360" w:lineRule="auto"/>
        <w:ind w:left="6372" w:firstLine="708"/>
        <w:jc w:val="right"/>
        <w:rPr>
          <w:rFonts w:ascii="Times New Roman" w:hAnsi="Times New Roman"/>
          <w:sz w:val="24"/>
          <w:szCs w:val="24"/>
        </w:rPr>
      </w:pPr>
      <w:r w:rsidRPr="00F04428">
        <w:rPr>
          <w:rFonts w:ascii="Times New Roman" w:hAnsi="Times New Roman"/>
          <w:sz w:val="24"/>
          <w:szCs w:val="24"/>
        </w:rPr>
        <w:t xml:space="preserve">Приложения </w:t>
      </w:r>
      <w:r w:rsidR="00F77B0D">
        <w:rPr>
          <w:rFonts w:ascii="Times New Roman" w:hAnsi="Times New Roman"/>
          <w:sz w:val="24"/>
          <w:szCs w:val="24"/>
        </w:rPr>
        <w:t>18</w:t>
      </w:r>
    </w:p>
    <w:p w:rsidR="00721F2A" w:rsidRPr="00F04428" w:rsidRDefault="00721F2A" w:rsidP="00F04428">
      <w:pPr>
        <w:pStyle w:val="a3"/>
        <w:tabs>
          <w:tab w:val="left" w:pos="567"/>
        </w:tabs>
        <w:spacing w:line="360" w:lineRule="auto"/>
        <w:jc w:val="right"/>
        <w:rPr>
          <w:rFonts w:ascii="Times New Roman" w:hAnsi="Times New Roman"/>
          <w:sz w:val="24"/>
          <w:szCs w:val="24"/>
        </w:rPr>
      </w:pP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t xml:space="preserve">к </w:t>
      </w:r>
      <w:r w:rsidR="00C47321" w:rsidRPr="00F04428">
        <w:rPr>
          <w:rFonts w:ascii="Times New Roman" w:hAnsi="Times New Roman"/>
          <w:sz w:val="24"/>
          <w:szCs w:val="24"/>
        </w:rPr>
        <w:t>Решению Хурала Представителей</w:t>
      </w:r>
    </w:p>
    <w:p w:rsidR="00721F2A" w:rsidRPr="00F04428" w:rsidRDefault="00721F2A" w:rsidP="00F04428">
      <w:pPr>
        <w:pStyle w:val="a3"/>
        <w:tabs>
          <w:tab w:val="left" w:pos="567"/>
        </w:tabs>
        <w:spacing w:line="360" w:lineRule="auto"/>
        <w:jc w:val="right"/>
        <w:rPr>
          <w:rFonts w:ascii="Times New Roman" w:hAnsi="Times New Roman"/>
          <w:sz w:val="24"/>
          <w:szCs w:val="24"/>
        </w:rPr>
      </w:pP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t xml:space="preserve">муниципального района «Монгун-Тайгинский </w:t>
      </w:r>
    </w:p>
    <w:p w:rsidR="00955AE2" w:rsidRPr="00F04428" w:rsidRDefault="00721F2A" w:rsidP="00F04428">
      <w:pPr>
        <w:pStyle w:val="a3"/>
        <w:tabs>
          <w:tab w:val="left" w:pos="567"/>
        </w:tabs>
        <w:spacing w:line="360" w:lineRule="auto"/>
        <w:jc w:val="right"/>
        <w:rPr>
          <w:rFonts w:ascii="Times New Roman" w:hAnsi="Times New Roman"/>
          <w:sz w:val="24"/>
          <w:szCs w:val="24"/>
        </w:rPr>
      </w:pP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r>
      <w:r w:rsidRPr="00F04428">
        <w:rPr>
          <w:rFonts w:ascii="Times New Roman" w:hAnsi="Times New Roman"/>
          <w:sz w:val="24"/>
          <w:szCs w:val="24"/>
        </w:rPr>
        <w:tab/>
        <w:t>кожуун Р</w:t>
      </w:r>
      <w:r w:rsidR="00734195" w:rsidRPr="00F04428">
        <w:rPr>
          <w:rFonts w:ascii="Times New Roman" w:hAnsi="Times New Roman"/>
          <w:sz w:val="24"/>
          <w:szCs w:val="24"/>
        </w:rPr>
        <w:t xml:space="preserve">еспублики </w:t>
      </w:r>
      <w:r w:rsidRPr="00F04428">
        <w:rPr>
          <w:rFonts w:ascii="Times New Roman" w:hAnsi="Times New Roman"/>
          <w:sz w:val="24"/>
          <w:szCs w:val="24"/>
        </w:rPr>
        <w:t>Т</w:t>
      </w:r>
      <w:r w:rsidR="00734195" w:rsidRPr="00F04428">
        <w:rPr>
          <w:rFonts w:ascii="Times New Roman" w:hAnsi="Times New Roman"/>
          <w:sz w:val="24"/>
          <w:szCs w:val="24"/>
        </w:rPr>
        <w:t>ыва</w:t>
      </w:r>
      <w:r w:rsidRPr="00F04428">
        <w:rPr>
          <w:rFonts w:ascii="Times New Roman" w:hAnsi="Times New Roman"/>
          <w:sz w:val="24"/>
          <w:szCs w:val="24"/>
        </w:rPr>
        <w:t>» «</w:t>
      </w:r>
      <w:r w:rsidR="00093D85">
        <w:rPr>
          <w:rFonts w:ascii="Times New Roman" w:hAnsi="Times New Roman"/>
          <w:sz w:val="24"/>
          <w:szCs w:val="24"/>
        </w:rPr>
        <w:t xml:space="preserve">Об утверждении </w:t>
      </w:r>
      <w:r w:rsidRPr="00F04428">
        <w:rPr>
          <w:rFonts w:ascii="Times New Roman" w:hAnsi="Times New Roman"/>
          <w:sz w:val="24"/>
          <w:szCs w:val="24"/>
        </w:rPr>
        <w:t>бюджета муниципального района</w:t>
      </w:r>
    </w:p>
    <w:p w:rsidR="0007335B" w:rsidRDefault="00721F2A" w:rsidP="00FA770D">
      <w:pPr>
        <w:pStyle w:val="a3"/>
        <w:tabs>
          <w:tab w:val="left" w:pos="567"/>
        </w:tabs>
        <w:spacing w:line="360" w:lineRule="auto"/>
        <w:jc w:val="right"/>
        <w:rPr>
          <w:rFonts w:ascii="Times New Roman" w:hAnsi="Times New Roman"/>
          <w:sz w:val="24"/>
          <w:szCs w:val="24"/>
        </w:rPr>
      </w:pPr>
      <w:r w:rsidRPr="00F04428">
        <w:rPr>
          <w:rFonts w:ascii="Times New Roman" w:hAnsi="Times New Roman"/>
          <w:sz w:val="24"/>
          <w:szCs w:val="24"/>
        </w:rPr>
        <w:t xml:space="preserve"> «Монгун</w:t>
      </w:r>
      <w:r w:rsidR="004819D3" w:rsidRPr="00F04428">
        <w:rPr>
          <w:rFonts w:ascii="Times New Roman" w:hAnsi="Times New Roman"/>
          <w:sz w:val="24"/>
          <w:szCs w:val="24"/>
        </w:rPr>
        <w:t xml:space="preserve">-Тайгинский </w:t>
      </w:r>
      <w:r w:rsidR="0006682F" w:rsidRPr="00F04428">
        <w:rPr>
          <w:rFonts w:ascii="Times New Roman" w:hAnsi="Times New Roman"/>
          <w:sz w:val="24"/>
          <w:szCs w:val="24"/>
        </w:rPr>
        <w:t>кожуун Р</w:t>
      </w:r>
      <w:r w:rsidR="004819D3" w:rsidRPr="00F04428">
        <w:rPr>
          <w:rFonts w:ascii="Times New Roman" w:hAnsi="Times New Roman"/>
          <w:sz w:val="24"/>
          <w:szCs w:val="24"/>
        </w:rPr>
        <w:t xml:space="preserve">еспублики </w:t>
      </w:r>
      <w:r w:rsidR="0006682F" w:rsidRPr="00F04428">
        <w:rPr>
          <w:rFonts w:ascii="Times New Roman" w:hAnsi="Times New Roman"/>
          <w:sz w:val="24"/>
          <w:szCs w:val="24"/>
        </w:rPr>
        <w:t>Т</w:t>
      </w:r>
      <w:r w:rsidR="004819D3" w:rsidRPr="00F04428">
        <w:rPr>
          <w:rFonts w:ascii="Times New Roman" w:hAnsi="Times New Roman"/>
          <w:sz w:val="24"/>
          <w:szCs w:val="24"/>
        </w:rPr>
        <w:t>ыва</w:t>
      </w:r>
      <w:r w:rsidR="00DD0FA4">
        <w:rPr>
          <w:rFonts w:ascii="Times New Roman" w:hAnsi="Times New Roman"/>
          <w:sz w:val="24"/>
          <w:szCs w:val="24"/>
        </w:rPr>
        <w:t>» на 2020</w:t>
      </w:r>
      <w:r w:rsidR="00FA770D">
        <w:rPr>
          <w:rFonts w:ascii="Times New Roman" w:hAnsi="Times New Roman"/>
          <w:sz w:val="24"/>
          <w:szCs w:val="24"/>
        </w:rPr>
        <w:t xml:space="preserve"> год</w:t>
      </w:r>
    </w:p>
    <w:p w:rsidR="00721F2A" w:rsidRPr="00F04428" w:rsidRDefault="0007335B" w:rsidP="00FA770D">
      <w:pPr>
        <w:pStyle w:val="a3"/>
        <w:tabs>
          <w:tab w:val="left" w:pos="567"/>
        </w:tabs>
        <w:spacing w:line="360" w:lineRule="auto"/>
        <w:jc w:val="right"/>
        <w:rPr>
          <w:rFonts w:ascii="Times New Roman" w:hAnsi="Times New Roman"/>
          <w:sz w:val="24"/>
          <w:szCs w:val="24"/>
        </w:rPr>
      </w:pPr>
      <w:r>
        <w:rPr>
          <w:rFonts w:ascii="Times New Roman" w:hAnsi="Times New Roman"/>
          <w:sz w:val="24"/>
          <w:szCs w:val="24"/>
        </w:rPr>
        <w:t xml:space="preserve">и на </w:t>
      </w:r>
      <w:r w:rsidR="00DD0FA4">
        <w:rPr>
          <w:rFonts w:ascii="Times New Roman" w:hAnsi="Times New Roman"/>
          <w:sz w:val="24"/>
          <w:szCs w:val="24"/>
        </w:rPr>
        <w:t>плановый период 2021-2022</w:t>
      </w:r>
      <w:r>
        <w:rPr>
          <w:rFonts w:ascii="Times New Roman" w:hAnsi="Times New Roman"/>
          <w:sz w:val="24"/>
          <w:szCs w:val="24"/>
        </w:rPr>
        <w:t xml:space="preserve"> годов</w:t>
      </w:r>
      <w:r w:rsidR="00721F2A" w:rsidRPr="00F04428">
        <w:rPr>
          <w:rFonts w:ascii="Times New Roman" w:hAnsi="Times New Roman"/>
          <w:sz w:val="24"/>
          <w:szCs w:val="24"/>
        </w:rPr>
        <w:t>»</w:t>
      </w:r>
    </w:p>
    <w:p w:rsidR="00721F2A" w:rsidRPr="00F04428" w:rsidRDefault="0051693B" w:rsidP="00F04428">
      <w:pPr>
        <w:shd w:val="clear" w:color="auto" w:fill="FFFFFF"/>
        <w:tabs>
          <w:tab w:val="left" w:pos="567"/>
        </w:tabs>
        <w:spacing w:line="360" w:lineRule="auto"/>
        <w:ind w:left="19"/>
        <w:jc w:val="right"/>
        <w:rPr>
          <w:b/>
          <w:spacing w:val="-3"/>
        </w:rPr>
      </w:pPr>
      <w:r>
        <w:rPr>
          <w:spacing w:val="-3"/>
        </w:rPr>
        <w:t xml:space="preserve">№   </w:t>
      </w:r>
      <w:r w:rsidR="00093D85">
        <w:rPr>
          <w:spacing w:val="-3"/>
        </w:rPr>
        <w:t xml:space="preserve">  </w:t>
      </w:r>
      <w:r>
        <w:rPr>
          <w:spacing w:val="-3"/>
        </w:rPr>
        <w:t xml:space="preserve">    от </w:t>
      </w:r>
      <w:r w:rsidR="00093D85">
        <w:rPr>
          <w:spacing w:val="-3"/>
        </w:rPr>
        <w:t>25</w:t>
      </w:r>
      <w:r w:rsidR="00A31A2A">
        <w:rPr>
          <w:spacing w:val="-3"/>
        </w:rPr>
        <w:t xml:space="preserve"> </w:t>
      </w:r>
      <w:r w:rsidR="00093D85">
        <w:rPr>
          <w:spacing w:val="-3"/>
        </w:rPr>
        <w:t>декабря</w:t>
      </w:r>
      <w:r w:rsidR="00DD0FA4">
        <w:rPr>
          <w:spacing w:val="-3"/>
        </w:rPr>
        <w:t xml:space="preserve"> 2019</w:t>
      </w:r>
      <w:r w:rsidR="00732B44" w:rsidRPr="00F04428">
        <w:rPr>
          <w:spacing w:val="-3"/>
        </w:rPr>
        <w:t xml:space="preserve"> года</w:t>
      </w:r>
    </w:p>
    <w:p w:rsidR="00721F2A" w:rsidRPr="00F04428" w:rsidRDefault="00721F2A" w:rsidP="00F04428">
      <w:pPr>
        <w:shd w:val="clear" w:color="auto" w:fill="FFFFFF"/>
        <w:tabs>
          <w:tab w:val="left" w:pos="567"/>
        </w:tabs>
        <w:spacing w:line="360" w:lineRule="auto"/>
        <w:ind w:left="19"/>
        <w:jc w:val="both"/>
        <w:rPr>
          <w:b/>
          <w:spacing w:val="-3"/>
        </w:rPr>
      </w:pPr>
      <w:bookmarkStart w:id="0" w:name="_GoBack"/>
      <w:bookmarkEnd w:id="0"/>
    </w:p>
    <w:p w:rsidR="00721F2A" w:rsidRPr="00F04428" w:rsidRDefault="00721F2A" w:rsidP="00F04428">
      <w:pPr>
        <w:shd w:val="clear" w:color="auto" w:fill="FFFFFF"/>
        <w:tabs>
          <w:tab w:val="left" w:pos="567"/>
        </w:tabs>
        <w:spacing w:line="360" w:lineRule="auto"/>
        <w:ind w:left="19"/>
        <w:jc w:val="both"/>
        <w:rPr>
          <w:b/>
          <w:spacing w:val="-3"/>
        </w:rPr>
      </w:pPr>
    </w:p>
    <w:p w:rsidR="00F04428" w:rsidRDefault="00F04428" w:rsidP="00F04428">
      <w:pPr>
        <w:tabs>
          <w:tab w:val="left" w:pos="567"/>
        </w:tabs>
        <w:jc w:val="center"/>
        <w:rPr>
          <w:b/>
          <w:sz w:val="28"/>
        </w:rPr>
      </w:pPr>
      <w:r>
        <w:rPr>
          <w:sz w:val="28"/>
        </w:rPr>
        <w:t>«</w:t>
      </w:r>
      <w:r>
        <w:rPr>
          <w:b/>
          <w:sz w:val="28"/>
        </w:rPr>
        <w:t>Методика расчета дотаций на выравнивание бюджетной обеспеченности поселений из районных фондов финансовой поддержки поселений»</w:t>
      </w:r>
    </w:p>
    <w:p w:rsidR="00F04428" w:rsidRDefault="00F04428" w:rsidP="00F04428">
      <w:pPr>
        <w:tabs>
          <w:tab w:val="left" w:pos="567"/>
        </w:tabs>
        <w:jc w:val="center"/>
        <w:rPr>
          <w:sz w:val="28"/>
          <w:szCs w:val="28"/>
        </w:rPr>
      </w:pPr>
    </w:p>
    <w:p w:rsidR="00F04428" w:rsidRDefault="00F04428" w:rsidP="00F04428">
      <w:pPr>
        <w:tabs>
          <w:tab w:val="left" w:pos="567"/>
        </w:tabs>
        <w:rPr>
          <w:sz w:val="28"/>
          <w:szCs w:val="28"/>
        </w:rPr>
      </w:pPr>
      <w:r>
        <w:rPr>
          <w:sz w:val="28"/>
          <w:szCs w:val="28"/>
        </w:rPr>
        <w:t>1. Методика расчета дотаций на выравнивание бюджетной обеспеченности поселений из районного фонда финансовой поддержки поселений (далее - Методика) включает следующие этапы:</w:t>
      </w:r>
    </w:p>
    <w:p w:rsidR="00F04428" w:rsidRDefault="00F04428" w:rsidP="00F04428">
      <w:pPr>
        <w:tabs>
          <w:tab w:val="left" w:pos="567"/>
        </w:tabs>
        <w:rPr>
          <w:sz w:val="28"/>
          <w:szCs w:val="28"/>
        </w:rPr>
      </w:pPr>
      <w:r>
        <w:rPr>
          <w:sz w:val="28"/>
          <w:szCs w:val="28"/>
        </w:rPr>
        <w:t>расчет бюджетной обеспеченности поселений;</w:t>
      </w:r>
    </w:p>
    <w:p w:rsidR="00F04428" w:rsidRDefault="00F04428" w:rsidP="00F04428">
      <w:pPr>
        <w:tabs>
          <w:tab w:val="left" w:pos="567"/>
        </w:tabs>
        <w:rPr>
          <w:sz w:val="28"/>
          <w:szCs w:val="28"/>
        </w:rPr>
      </w:pPr>
      <w:r>
        <w:rPr>
          <w:sz w:val="28"/>
          <w:szCs w:val="28"/>
        </w:rPr>
        <w:t>расчет распределения дотаций на выравнивание бюджетной обеспеченности поселений из районного фонда финансовой поддержки поселений.</w:t>
      </w:r>
    </w:p>
    <w:p w:rsidR="00F04428" w:rsidRDefault="00F04428" w:rsidP="00F04428">
      <w:pPr>
        <w:pStyle w:val="a4"/>
        <w:tabs>
          <w:tab w:val="left" w:pos="567"/>
        </w:tabs>
        <w:spacing w:after="0" w:line="240" w:lineRule="auto"/>
        <w:rPr>
          <w:sz w:val="28"/>
        </w:rPr>
      </w:pPr>
      <w:r>
        <w:rPr>
          <w:sz w:val="28"/>
        </w:rPr>
        <w:t xml:space="preserve">2. Дотации на выравнивание бюджетной обеспеченности поселений из бюджета муниципального района (за исключением дотаций, предоставляемых за счет субвенций из Регионального фонда компенсаций) предоставляются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поселений данного муниципального района. </w:t>
      </w:r>
    </w:p>
    <w:p w:rsidR="00F04428" w:rsidRDefault="00F04428" w:rsidP="00F04428">
      <w:pPr>
        <w:pStyle w:val="a4"/>
        <w:tabs>
          <w:tab w:val="left" w:pos="567"/>
        </w:tabs>
        <w:spacing w:after="0" w:line="240" w:lineRule="auto"/>
        <w:rPr>
          <w:sz w:val="28"/>
        </w:rPr>
      </w:pPr>
      <w:r>
        <w:rPr>
          <w:sz w:val="28"/>
        </w:rPr>
        <w:t>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F04428" w:rsidRDefault="00F04428" w:rsidP="00F04428">
      <w:pPr>
        <w:pStyle w:val="a4"/>
        <w:tabs>
          <w:tab w:val="left" w:pos="567"/>
        </w:tabs>
        <w:spacing w:after="0" w:line="240" w:lineRule="auto"/>
        <w:rPr>
          <w:sz w:val="28"/>
        </w:rPr>
      </w:pPr>
      <w:r>
        <w:rPr>
          <w:sz w:val="28"/>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F04428" w:rsidRDefault="00F04428" w:rsidP="00F04428">
      <w:pPr>
        <w:pStyle w:val="a4"/>
        <w:tabs>
          <w:tab w:val="left" w:pos="567"/>
        </w:tabs>
        <w:spacing w:after="0" w:line="240" w:lineRule="auto"/>
        <w:rPr>
          <w:sz w:val="28"/>
        </w:rPr>
      </w:pPr>
      <w:r>
        <w:rPr>
          <w:sz w:val="28"/>
        </w:rPr>
        <w:t xml:space="preserve">3. Уровень расчетной бюджетной обеспеченности поселений, входящих в состав муниципального района (далее - поселения), до </w:t>
      </w:r>
      <w:r>
        <w:rPr>
          <w:sz w:val="28"/>
        </w:rPr>
        <w:lastRenderedPageBreak/>
        <w:t>распределения средств районного фонда финансовой поддержки поселений (далее – РФФПП) определяется по следующей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БО</w:t>
      </w:r>
      <w:r>
        <w:rPr>
          <w:sz w:val="28"/>
          <w:szCs w:val="28"/>
          <w:vertAlign w:val="subscript"/>
          <w:lang w:val="en-US"/>
        </w:rPr>
        <w:t>i</w:t>
      </w:r>
      <w:r>
        <w:rPr>
          <w:sz w:val="28"/>
        </w:rPr>
        <w:t xml:space="preserve">  = (НП</w:t>
      </w:r>
      <w:r>
        <w:rPr>
          <w:sz w:val="28"/>
          <w:szCs w:val="28"/>
          <w:vertAlign w:val="subscript"/>
          <w:lang w:val="en-US"/>
        </w:rPr>
        <w:t>i</w:t>
      </w:r>
      <w:r>
        <w:rPr>
          <w:sz w:val="28"/>
        </w:rPr>
        <w:t xml:space="preserve">  / н </w:t>
      </w:r>
      <w:r>
        <w:rPr>
          <w:sz w:val="28"/>
          <w:szCs w:val="28"/>
          <w:vertAlign w:val="subscript"/>
          <w:lang w:val="en-US"/>
        </w:rPr>
        <w:t>i</w:t>
      </w:r>
      <w:r>
        <w:rPr>
          <w:sz w:val="28"/>
        </w:rPr>
        <w:t>) / (НП / Н),</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БО</w:t>
      </w:r>
      <w:r>
        <w:rPr>
          <w:sz w:val="28"/>
          <w:szCs w:val="28"/>
          <w:vertAlign w:val="subscript"/>
          <w:lang w:val="en-US"/>
        </w:rPr>
        <w:t>i</w:t>
      </w:r>
      <w:r>
        <w:rPr>
          <w:sz w:val="28"/>
        </w:rPr>
        <w:t xml:space="preserve">  - уровень   расчетной   бюджетной    обеспеченности   i-го поселения до распределения средств РФФПП;</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rPr>
        <w:t xml:space="preserve">  - налоговый потенциал  i-го поселения с учетом дотации на выравнивание бюджетной обеспеченности поселений из Регионального фонда финансовой поддержки поселений;</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w:t>
      </w:r>
      <w:r>
        <w:rPr>
          <w:sz w:val="28"/>
          <w:szCs w:val="28"/>
          <w:vertAlign w:val="subscript"/>
          <w:lang w:val="en-US"/>
        </w:rPr>
        <w:t>i</w:t>
      </w:r>
      <w:r>
        <w:rPr>
          <w:sz w:val="28"/>
        </w:rPr>
        <w:t xml:space="preserve">  - численность населения i-го поселения;</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 - налоговый потенциал по всем поселениям муниципального района с учетом дотаций на выравнивание бюджетной обеспеченности поселений из Регионального фонда финансовой поддержки поселений;</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 - численность населения муниципального района.</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4. Налоговый потенциал i-го поселения на очередной финансовый год (плановый период) с учетом дотации на выравнивание бюджетной обеспеченности поселений из Регионального фонда финансовой поддержки поселений рассчитывается по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rPr>
        <w:t xml:space="preserve">  = НП</w:t>
      </w:r>
      <w:r>
        <w:rPr>
          <w:sz w:val="28"/>
          <w:szCs w:val="28"/>
          <w:vertAlign w:val="subscript"/>
          <w:lang w:val="en-US"/>
        </w:rPr>
        <w:t>i</w:t>
      </w:r>
      <w:r>
        <w:rPr>
          <w:sz w:val="28"/>
          <w:szCs w:val="28"/>
          <w:vertAlign w:val="superscript"/>
        </w:rPr>
        <w:t>НДФЛ</w:t>
      </w:r>
      <w:r>
        <w:rPr>
          <w:sz w:val="28"/>
        </w:rPr>
        <w:t xml:space="preserve"> + НП</w:t>
      </w:r>
      <w:r>
        <w:rPr>
          <w:sz w:val="28"/>
          <w:szCs w:val="28"/>
          <w:vertAlign w:val="subscript"/>
          <w:lang w:val="en-US"/>
        </w:rPr>
        <w:t>i</w:t>
      </w:r>
      <w:r>
        <w:rPr>
          <w:sz w:val="28"/>
          <w:szCs w:val="28"/>
          <w:vertAlign w:val="superscript"/>
        </w:rPr>
        <w:t xml:space="preserve"> ЕСХН</w:t>
      </w:r>
      <w:r>
        <w:rPr>
          <w:sz w:val="28"/>
        </w:rPr>
        <w:t xml:space="preserve"> + НП</w:t>
      </w:r>
      <w:r>
        <w:rPr>
          <w:sz w:val="28"/>
          <w:szCs w:val="28"/>
          <w:vertAlign w:val="subscript"/>
          <w:lang w:val="en-US"/>
        </w:rPr>
        <w:t>i</w:t>
      </w:r>
      <w:r>
        <w:rPr>
          <w:sz w:val="28"/>
          <w:szCs w:val="28"/>
          <w:vertAlign w:val="superscript"/>
        </w:rPr>
        <w:t xml:space="preserve"> ЗН</w:t>
      </w:r>
      <w:r>
        <w:rPr>
          <w:sz w:val="28"/>
        </w:rPr>
        <w:t xml:space="preserve"> + НП</w:t>
      </w:r>
      <w:r>
        <w:rPr>
          <w:sz w:val="28"/>
          <w:szCs w:val="28"/>
          <w:vertAlign w:val="subscript"/>
          <w:lang w:val="en-US"/>
        </w:rPr>
        <w:t>i</w:t>
      </w:r>
      <w:r>
        <w:rPr>
          <w:sz w:val="28"/>
          <w:szCs w:val="28"/>
          <w:vertAlign w:val="superscript"/>
        </w:rPr>
        <w:t>НИФЛ</w:t>
      </w:r>
      <w:r>
        <w:rPr>
          <w:sz w:val="28"/>
          <w:szCs w:val="28"/>
        </w:rPr>
        <w:t xml:space="preserve"> + Дот</w:t>
      </w:r>
      <w:r>
        <w:rPr>
          <w:sz w:val="28"/>
          <w:szCs w:val="28"/>
          <w:vertAlign w:val="subscript"/>
          <w:lang w:val="en-US"/>
        </w:rPr>
        <w:t>i</w:t>
      </w:r>
      <w:r>
        <w:rPr>
          <w:sz w:val="28"/>
        </w:rPr>
        <w:t>,</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НДФЛ</w:t>
      </w:r>
      <w:r>
        <w:rPr>
          <w:sz w:val="28"/>
        </w:rPr>
        <w:t xml:space="preserve"> - налоговый потенциал i-го поселения по налогу на доходы физических лиц;</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 xml:space="preserve"> ЕСХН</w:t>
      </w:r>
      <w:r>
        <w:rPr>
          <w:sz w:val="28"/>
        </w:rPr>
        <w:t xml:space="preserve"> - налоговый потенциал i-го поселения по единому сельскохозяйственному налогу;</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 xml:space="preserve"> ЗН</w:t>
      </w:r>
      <w:r>
        <w:rPr>
          <w:sz w:val="28"/>
        </w:rPr>
        <w:t xml:space="preserve"> - налоговый потенциал i-го поселения по земельному налогу;</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НИФЛ</w:t>
      </w:r>
      <w:r>
        <w:rPr>
          <w:sz w:val="28"/>
        </w:rPr>
        <w:t xml:space="preserve"> - налоговый потенциал i-го поселения по налогу на имущество физических лиц;</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szCs w:val="28"/>
        </w:rPr>
        <w:t>Дот</w:t>
      </w:r>
      <w:r>
        <w:rPr>
          <w:sz w:val="28"/>
          <w:szCs w:val="28"/>
          <w:vertAlign w:val="subscript"/>
          <w:lang w:val="en-US"/>
        </w:rPr>
        <w:t>i</w:t>
      </w:r>
      <w:r>
        <w:rPr>
          <w:sz w:val="28"/>
          <w:szCs w:val="28"/>
        </w:rPr>
        <w:t xml:space="preserve"> – объем </w:t>
      </w:r>
      <w:r>
        <w:rPr>
          <w:sz w:val="28"/>
        </w:rPr>
        <w:t xml:space="preserve">дотации на выравнивание бюджетной обеспеченности поселений из Регионального фонда финансовой поддержки поселений </w:t>
      </w:r>
      <w:r>
        <w:rPr>
          <w:sz w:val="28"/>
          <w:lang w:val="en-US"/>
        </w:rPr>
        <w:t>i</w:t>
      </w:r>
      <w:r>
        <w:rPr>
          <w:sz w:val="28"/>
        </w:rPr>
        <w:t>-го поселения.</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Налоговый потенциал поселений применяется для сопоставления уровней расчетной бюджетной обеспеченности поселений и не является прогнозируемой оценкой налоговых доходов поселений в абсолютном размере.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4.1. Налоговый потенциал i-го поселения по налогу на доходы физических лиц рассчитывается по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НДФЛ</w:t>
      </w:r>
      <w:r>
        <w:rPr>
          <w:sz w:val="28"/>
        </w:rPr>
        <w:t xml:space="preserve"> = ПН</w:t>
      </w:r>
      <w:r>
        <w:rPr>
          <w:sz w:val="28"/>
          <w:szCs w:val="28"/>
          <w:vertAlign w:val="superscript"/>
        </w:rPr>
        <w:t>НДФЛ</w:t>
      </w:r>
      <w:r>
        <w:rPr>
          <w:sz w:val="28"/>
        </w:rPr>
        <w:t xml:space="preserve"> x (0,25 x (БН</w:t>
      </w:r>
      <w:r>
        <w:rPr>
          <w:sz w:val="28"/>
          <w:szCs w:val="28"/>
          <w:vertAlign w:val="subscript"/>
        </w:rPr>
        <w:t>ij-2</w:t>
      </w:r>
      <w:r>
        <w:rPr>
          <w:sz w:val="28"/>
        </w:rPr>
        <w:t xml:space="preserve"> / SUM БН</w:t>
      </w:r>
      <w:r>
        <w:rPr>
          <w:sz w:val="28"/>
          <w:szCs w:val="28"/>
          <w:vertAlign w:val="subscript"/>
        </w:rPr>
        <w:t>ij-2</w:t>
      </w:r>
      <w:r>
        <w:rPr>
          <w:sz w:val="28"/>
        </w:rPr>
        <w:t>) + 0,30 x (БНij-1 / SUM БН</w:t>
      </w:r>
      <w:r>
        <w:rPr>
          <w:sz w:val="28"/>
          <w:szCs w:val="28"/>
          <w:vertAlign w:val="subscript"/>
        </w:rPr>
        <w:t>ij-1</w:t>
      </w:r>
      <w:r>
        <w:rPr>
          <w:sz w:val="28"/>
        </w:rPr>
        <w:t>) + 0,45 x (БН</w:t>
      </w:r>
      <w:r>
        <w:rPr>
          <w:sz w:val="28"/>
          <w:szCs w:val="28"/>
          <w:vertAlign w:val="subscript"/>
        </w:rPr>
        <w:t>ij</w:t>
      </w:r>
      <w:r>
        <w:rPr>
          <w:sz w:val="28"/>
        </w:rPr>
        <w:t xml:space="preserve">  / SUM БН</w:t>
      </w:r>
      <w:r>
        <w:rPr>
          <w:sz w:val="28"/>
          <w:szCs w:val="28"/>
          <w:vertAlign w:val="subscript"/>
        </w:rPr>
        <w:t>ij</w:t>
      </w:r>
      <w:r>
        <w:rPr>
          <w:sz w:val="28"/>
        </w:rPr>
        <w:t>)),</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r>
        <w:rPr>
          <w:sz w:val="28"/>
        </w:rPr>
        <w:t>ПН</w:t>
      </w:r>
      <w:r>
        <w:rPr>
          <w:sz w:val="28"/>
          <w:szCs w:val="28"/>
          <w:vertAlign w:val="superscript"/>
        </w:rPr>
        <w:t>НДФЛ</w:t>
      </w:r>
      <w:r>
        <w:rPr>
          <w:sz w:val="28"/>
        </w:rPr>
        <w:t xml:space="preserve"> - прогноз поступления доходов в консолидированный бюджет муниципального района по налогу на доходы физических лиц на очередной финансовый год (плановый период);</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БН</w:t>
      </w:r>
      <w:r>
        <w:rPr>
          <w:sz w:val="28"/>
          <w:szCs w:val="28"/>
          <w:vertAlign w:val="subscript"/>
        </w:rPr>
        <w:t>ij</w:t>
      </w:r>
      <w:r>
        <w:rPr>
          <w:sz w:val="28"/>
        </w:rPr>
        <w:t>,  БН</w:t>
      </w:r>
      <w:r>
        <w:rPr>
          <w:sz w:val="28"/>
          <w:szCs w:val="28"/>
          <w:vertAlign w:val="subscript"/>
        </w:rPr>
        <w:t xml:space="preserve">ij-1 , </w:t>
      </w:r>
      <w:r>
        <w:rPr>
          <w:sz w:val="28"/>
        </w:rPr>
        <w:t xml:space="preserve"> БН</w:t>
      </w:r>
      <w:r>
        <w:rPr>
          <w:sz w:val="28"/>
          <w:szCs w:val="28"/>
          <w:vertAlign w:val="subscript"/>
        </w:rPr>
        <w:t>ij-2</w:t>
      </w:r>
      <w:r>
        <w:rPr>
          <w:sz w:val="28"/>
        </w:rPr>
        <w:t xml:space="preserve">  - показатели,  характеризующие налоговый потенциал i-го поселения по видам налогов за три последних отчетных года.</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 xml:space="preserve">В случае, если темпы роста фонда начисленной заработной платы работникам организаций по i-му поселению превышают темпы роста фонда начисленной заработной платы работникам организаций, сложившегося в среднем по Тамбовской области, то объемы фонда начисленной заработной платы работникам организаций </w:t>
      </w:r>
      <w:r>
        <w:rPr>
          <w:sz w:val="28"/>
          <w:lang w:val="en-US"/>
        </w:rPr>
        <w:t>i</w:t>
      </w:r>
      <w:r>
        <w:rPr>
          <w:sz w:val="28"/>
        </w:rPr>
        <w:t>-го поселения принимаются на уровне среднеобластного показателя.</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4.2. Налоговый потенциал i-го поселения по единому сельскохозяйственному налогу рассчитывается по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ЕСХН</w:t>
      </w:r>
      <w:r>
        <w:rPr>
          <w:sz w:val="28"/>
        </w:rPr>
        <w:t xml:space="preserve"> = ПН</w:t>
      </w:r>
      <w:r>
        <w:rPr>
          <w:sz w:val="28"/>
          <w:szCs w:val="28"/>
          <w:vertAlign w:val="superscript"/>
        </w:rPr>
        <w:t xml:space="preserve"> ЕСХН</w:t>
      </w:r>
      <w:r>
        <w:rPr>
          <w:sz w:val="28"/>
        </w:rPr>
        <w:t xml:space="preserve">  x  ((БН</w:t>
      </w:r>
      <w:r>
        <w:rPr>
          <w:sz w:val="28"/>
          <w:szCs w:val="28"/>
          <w:vertAlign w:val="subscript"/>
        </w:rPr>
        <w:t xml:space="preserve">ij-2 </w:t>
      </w:r>
      <w:r>
        <w:rPr>
          <w:sz w:val="28"/>
        </w:rPr>
        <w:t xml:space="preserve">  /  SUM БН</w:t>
      </w:r>
      <w:r>
        <w:rPr>
          <w:sz w:val="28"/>
          <w:szCs w:val="28"/>
          <w:vertAlign w:val="subscript"/>
        </w:rPr>
        <w:t>ij-2</w:t>
      </w:r>
      <w:r>
        <w:rPr>
          <w:sz w:val="28"/>
        </w:rPr>
        <w:t>)  +  (БН</w:t>
      </w:r>
      <w:r>
        <w:rPr>
          <w:sz w:val="28"/>
          <w:szCs w:val="28"/>
          <w:vertAlign w:val="subscript"/>
        </w:rPr>
        <w:t xml:space="preserve">ij-1 </w:t>
      </w:r>
      <w:r>
        <w:rPr>
          <w:sz w:val="28"/>
        </w:rPr>
        <w:t xml:space="preserve"> /  SUM БН</w:t>
      </w:r>
      <w:r>
        <w:rPr>
          <w:sz w:val="28"/>
          <w:szCs w:val="28"/>
          <w:vertAlign w:val="subscript"/>
        </w:rPr>
        <w:t>ij-2</w:t>
      </w:r>
      <w:r>
        <w:rPr>
          <w:sz w:val="28"/>
        </w:rPr>
        <w:t>) +   + (БН</w:t>
      </w:r>
      <w:r>
        <w:rPr>
          <w:sz w:val="28"/>
          <w:szCs w:val="28"/>
          <w:vertAlign w:val="subscript"/>
        </w:rPr>
        <w:t>ij</w:t>
      </w:r>
      <w:r>
        <w:rPr>
          <w:sz w:val="28"/>
        </w:rPr>
        <w:t xml:space="preserve">  / SUM БН</w:t>
      </w:r>
      <w:r>
        <w:rPr>
          <w:sz w:val="28"/>
          <w:szCs w:val="28"/>
          <w:vertAlign w:val="subscript"/>
        </w:rPr>
        <w:t>ij</w:t>
      </w:r>
      <w:r>
        <w:rPr>
          <w:sz w:val="28"/>
        </w:rPr>
        <w:t>)) / 3,</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ПН</w:t>
      </w:r>
      <w:r>
        <w:rPr>
          <w:sz w:val="28"/>
          <w:szCs w:val="28"/>
          <w:vertAlign w:val="superscript"/>
        </w:rPr>
        <w:t xml:space="preserve"> ЕСХН</w:t>
      </w:r>
      <w:r>
        <w:rPr>
          <w:sz w:val="28"/>
        </w:rPr>
        <w:t xml:space="preserve">  - прогноз поступления доходов в консолидированный бюджет муниципального района по единому сельскохозяйственному налогу на очередной финансовый год (плановый период).</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4.3. Налоговый потенциал i-го поселения по земельному налогу рассчитывается по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w:t>
      </w:r>
      <w:r>
        <w:rPr>
          <w:sz w:val="28"/>
          <w:szCs w:val="28"/>
          <w:vertAlign w:val="subscript"/>
          <w:lang w:val="en-US"/>
        </w:rPr>
        <w:t>i</w:t>
      </w:r>
      <w:r>
        <w:rPr>
          <w:sz w:val="28"/>
          <w:szCs w:val="28"/>
          <w:vertAlign w:val="superscript"/>
        </w:rPr>
        <w:t>ЗН</w:t>
      </w:r>
      <w:r>
        <w:rPr>
          <w:sz w:val="28"/>
        </w:rPr>
        <w:t xml:space="preserve"> = КС</w:t>
      </w:r>
      <w:r>
        <w:rPr>
          <w:sz w:val="28"/>
          <w:szCs w:val="28"/>
          <w:vertAlign w:val="subscript"/>
          <w:lang w:val="en-US"/>
        </w:rPr>
        <w:t>i</w:t>
      </w:r>
      <w:r>
        <w:rPr>
          <w:sz w:val="28"/>
        </w:rPr>
        <w:t xml:space="preserve">  x С,</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КС</w:t>
      </w:r>
      <w:r>
        <w:rPr>
          <w:sz w:val="28"/>
          <w:szCs w:val="28"/>
          <w:vertAlign w:val="subscript"/>
          <w:lang w:val="en-US"/>
        </w:rPr>
        <w:t>i</w:t>
      </w:r>
      <w:r>
        <w:rPr>
          <w:sz w:val="28"/>
        </w:rPr>
        <w:t xml:space="preserve">  - кадастровая   стоимость   земельных  участков </w:t>
      </w:r>
      <w:r>
        <w:rPr>
          <w:sz w:val="28"/>
          <w:lang w:val="en-US"/>
        </w:rPr>
        <w:t>i</w:t>
      </w:r>
      <w:r>
        <w:rPr>
          <w:sz w:val="28"/>
        </w:rPr>
        <w:t>-го поселения по  видам функционального использования земель;</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С - ставка земельного налога, установленная Налоговым кодексом Российской Федерации.</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4.4. Налоговый потенциал i-го поселения по налогу на имущество физических лиц определяется как начисленная сумма налога за отчетный финансовый год.</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szCs w:val="28"/>
        </w:rPr>
      </w:pPr>
      <w:r>
        <w:rPr>
          <w:sz w:val="28"/>
          <w:szCs w:val="28"/>
        </w:rPr>
        <w:t>4.5. Перечень показателей, характеризующих налоговый потенциал поселений области, приведен в таблице.</w:t>
      </w:r>
    </w:p>
    <w:p w:rsidR="00F04428" w:rsidRDefault="00F04428" w:rsidP="00F04428">
      <w:pPr>
        <w:pStyle w:val="a4"/>
        <w:tabs>
          <w:tab w:val="left" w:pos="567"/>
        </w:tabs>
        <w:spacing w:after="0" w:line="240" w:lineRule="auto"/>
        <w:jc w:val="left"/>
        <w:rPr>
          <w:sz w:val="28"/>
          <w:szCs w:val="28"/>
        </w:rPr>
      </w:pPr>
    </w:p>
    <w:p w:rsidR="00F04428" w:rsidRDefault="00F04428" w:rsidP="00F04428">
      <w:pPr>
        <w:pStyle w:val="a4"/>
        <w:tabs>
          <w:tab w:val="left" w:pos="567"/>
        </w:tabs>
        <w:spacing w:after="0" w:line="240" w:lineRule="auto"/>
        <w:jc w:val="left"/>
        <w:rPr>
          <w:sz w:val="28"/>
          <w:szCs w:val="28"/>
        </w:rPr>
      </w:pPr>
      <w:r>
        <w:rPr>
          <w:sz w:val="28"/>
          <w:szCs w:val="28"/>
        </w:rPr>
        <w:t>Таблица</w:t>
      </w:r>
    </w:p>
    <w:p w:rsidR="00F04428" w:rsidRDefault="00F04428" w:rsidP="00F04428">
      <w:pPr>
        <w:pStyle w:val="a4"/>
        <w:tabs>
          <w:tab w:val="left" w:pos="567"/>
        </w:tabs>
        <w:spacing w:after="0" w:line="240" w:lineRule="auto"/>
        <w:jc w:val="left"/>
        <w:rPr>
          <w:sz w:val="28"/>
          <w:szCs w:val="28"/>
        </w:rPr>
      </w:pPr>
    </w:p>
    <w:p w:rsidR="00F04428" w:rsidRDefault="00F04428" w:rsidP="00F04428">
      <w:pPr>
        <w:pStyle w:val="a4"/>
        <w:tabs>
          <w:tab w:val="left" w:pos="567"/>
        </w:tabs>
        <w:spacing w:after="0" w:line="240" w:lineRule="auto"/>
        <w:jc w:val="center"/>
        <w:rPr>
          <w:sz w:val="28"/>
          <w:szCs w:val="28"/>
        </w:rPr>
      </w:pPr>
      <w:r>
        <w:rPr>
          <w:sz w:val="28"/>
          <w:szCs w:val="28"/>
        </w:rPr>
        <w:t>Перечень показателей,</w:t>
      </w:r>
    </w:p>
    <w:p w:rsidR="00F04428" w:rsidRDefault="00F04428" w:rsidP="00F04428">
      <w:pPr>
        <w:pStyle w:val="a4"/>
        <w:tabs>
          <w:tab w:val="left" w:pos="567"/>
        </w:tabs>
        <w:spacing w:after="0" w:line="240" w:lineRule="auto"/>
        <w:jc w:val="center"/>
        <w:rPr>
          <w:sz w:val="28"/>
          <w:szCs w:val="28"/>
        </w:rPr>
      </w:pPr>
      <w:r>
        <w:rPr>
          <w:sz w:val="28"/>
          <w:szCs w:val="28"/>
        </w:rPr>
        <w:t>характеризующих налоговый потенциал поселений области</w:t>
      </w:r>
    </w:p>
    <w:p w:rsidR="00F04428" w:rsidRDefault="00F04428" w:rsidP="00F04428">
      <w:pPr>
        <w:pStyle w:val="ConsPlusNormal"/>
        <w:widowControl/>
        <w:tabs>
          <w:tab w:val="left" w:pos="567"/>
        </w:tabs>
        <w:ind w:firstLine="709"/>
        <w:jc w:val="both"/>
        <w:rPr>
          <w:rFonts w:ascii="Times New Roman" w:hAnsi="Times New Roman" w:cs="Times New Roman"/>
          <w:sz w:val="28"/>
          <w:szCs w:val="28"/>
        </w:rPr>
      </w:pPr>
    </w:p>
    <w:tbl>
      <w:tblPr>
        <w:tblW w:w="5000" w:type="pct"/>
        <w:tblInd w:w="70" w:type="dxa"/>
        <w:tblCellMar>
          <w:left w:w="70" w:type="dxa"/>
          <w:right w:w="70" w:type="dxa"/>
        </w:tblCellMar>
        <w:tblLook w:val="04A0"/>
      </w:tblPr>
      <w:tblGrid>
        <w:gridCol w:w="2900"/>
        <w:gridCol w:w="3143"/>
        <w:gridCol w:w="3452"/>
      </w:tblGrid>
      <w:tr w:rsidR="00F04428" w:rsidTr="00F04428">
        <w:trPr>
          <w:trHeight w:val="240"/>
        </w:trPr>
        <w:tc>
          <w:tcPr>
            <w:tcW w:w="1527"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firstLine="0"/>
              <w:rPr>
                <w:rFonts w:ascii="Times New Roman" w:hAnsi="Times New Roman" w:cs="Times New Roman"/>
                <w:sz w:val="28"/>
                <w:szCs w:val="28"/>
              </w:rPr>
            </w:pPr>
            <w:r>
              <w:rPr>
                <w:rFonts w:ascii="Times New Roman" w:hAnsi="Times New Roman" w:cs="Times New Roman"/>
                <w:sz w:val="28"/>
                <w:szCs w:val="28"/>
              </w:rPr>
              <w:t xml:space="preserve">Налог       </w:t>
            </w:r>
          </w:p>
        </w:tc>
        <w:tc>
          <w:tcPr>
            <w:tcW w:w="1655"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firstLine="0"/>
              <w:rPr>
                <w:rFonts w:ascii="Times New Roman" w:hAnsi="Times New Roman" w:cs="Times New Roman"/>
                <w:sz w:val="28"/>
                <w:szCs w:val="28"/>
              </w:rPr>
            </w:pPr>
            <w:r>
              <w:rPr>
                <w:rFonts w:ascii="Times New Roman" w:hAnsi="Times New Roman" w:cs="Times New Roman"/>
                <w:sz w:val="28"/>
                <w:szCs w:val="28"/>
              </w:rPr>
              <w:t xml:space="preserve">Показатель        </w:t>
            </w:r>
          </w:p>
        </w:tc>
        <w:tc>
          <w:tcPr>
            <w:tcW w:w="1818"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firstLine="0"/>
              <w:rPr>
                <w:rFonts w:ascii="Times New Roman" w:hAnsi="Times New Roman" w:cs="Times New Roman"/>
                <w:sz w:val="28"/>
                <w:szCs w:val="28"/>
              </w:rPr>
            </w:pPr>
            <w:r>
              <w:rPr>
                <w:rFonts w:ascii="Times New Roman" w:hAnsi="Times New Roman" w:cs="Times New Roman"/>
                <w:sz w:val="28"/>
                <w:szCs w:val="28"/>
              </w:rPr>
              <w:t xml:space="preserve">Источник          </w:t>
            </w:r>
          </w:p>
        </w:tc>
      </w:tr>
      <w:tr w:rsidR="00F04428" w:rsidTr="00F04428">
        <w:trPr>
          <w:trHeight w:val="600"/>
        </w:trPr>
        <w:tc>
          <w:tcPr>
            <w:tcW w:w="1527"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72" w:firstLine="0"/>
              <w:rPr>
                <w:rFonts w:ascii="Times New Roman" w:hAnsi="Times New Roman" w:cs="Times New Roman"/>
                <w:sz w:val="28"/>
                <w:szCs w:val="28"/>
              </w:rPr>
            </w:pPr>
            <w:r>
              <w:rPr>
                <w:rFonts w:ascii="Times New Roman" w:hAnsi="Times New Roman" w:cs="Times New Roman"/>
                <w:sz w:val="28"/>
                <w:szCs w:val="28"/>
              </w:rPr>
              <w:t xml:space="preserve">Налог на доходы физических лиц      </w:t>
            </w:r>
          </w:p>
        </w:tc>
        <w:tc>
          <w:tcPr>
            <w:tcW w:w="1655"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72" w:firstLine="0"/>
              <w:rPr>
                <w:rFonts w:ascii="Times New Roman" w:hAnsi="Times New Roman" w:cs="Times New Roman"/>
                <w:sz w:val="28"/>
                <w:szCs w:val="28"/>
              </w:rPr>
            </w:pPr>
            <w:r>
              <w:rPr>
                <w:rFonts w:ascii="Times New Roman" w:hAnsi="Times New Roman" w:cs="Times New Roman"/>
                <w:sz w:val="28"/>
                <w:szCs w:val="28"/>
              </w:rPr>
              <w:t>Облагаемая сумма доходов</w:t>
            </w:r>
          </w:p>
        </w:tc>
        <w:tc>
          <w:tcPr>
            <w:tcW w:w="1818" w:type="pct"/>
            <w:tcBorders>
              <w:top w:val="single" w:sz="6" w:space="0" w:color="auto"/>
              <w:left w:val="single" w:sz="6" w:space="0" w:color="auto"/>
              <w:bottom w:val="single" w:sz="6" w:space="0" w:color="auto"/>
              <w:right w:val="single" w:sz="6" w:space="0" w:color="auto"/>
            </w:tcBorders>
            <w:hideMark/>
          </w:tcPr>
          <w:p w:rsidR="00F04428" w:rsidRDefault="00F04428" w:rsidP="00D450C1">
            <w:pPr>
              <w:pStyle w:val="ConsPlusNormal"/>
              <w:widowControl/>
              <w:tabs>
                <w:tab w:val="left" w:pos="567"/>
              </w:tabs>
              <w:ind w:left="72" w:firstLine="0"/>
              <w:jc w:val="both"/>
              <w:rPr>
                <w:rFonts w:ascii="Times New Roman" w:hAnsi="Times New Roman" w:cs="Times New Roman"/>
                <w:sz w:val="28"/>
                <w:szCs w:val="28"/>
              </w:rPr>
            </w:pPr>
            <w:r>
              <w:rPr>
                <w:rFonts w:ascii="Times New Roman" w:hAnsi="Times New Roman" w:cs="Times New Roman"/>
                <w:sz w:val="28"/>
                <w:szCs w:val="28"/>
              </w:rPr>
              <w:t xml:space="preserve">Управление Федеральной      </w:t>
            </w:r>
            <w:r>
              <w:rPr>
                <w:rFonts w:ascii="Times New Roman" w:hAnsi="Times New Roman" w:cs="Times New Roman"/>
                <w:sz w:val="28"/>
                <w:szCs w:val="28"/>
              </w:rPr>
              <w:br/>
              <w:t xml:space="preserve">налоговой службы по </w:t>
            </w:r>
          </w:p>
        </w:tc>
      </w:tr>
      <w:tr w:rsidR="00F04428" w:rsidTr="00F04428">
        <w:trPr>
          <w:trHeight w:val="600"/>
        </w:trPr>
        <w:tc>
          <w:tcPr>
            <w:tcW w:w="1527"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72" w:right="-123" w:firstLine="0"/>
              <w:rPr>
                <w:rFonts w:ascii="Times New Roman" w:hAnsi="Times New Roman" w:cs="Times New Roman"/>
                <w:sz w:val="28"/>
                <w:szCs w:val="28"/>
              </w:rPr>
            </w:pPr>
            <w:r>
              <w:rPr>
                <w:rFonts w:ascii="Times New Roman" w:hAnsi="Times New Roman" w:cs="Times New Roman"/>
                <w:sz w:val="28"/>
                <w:szCs w:val="28"/>
              </w:rPr>
              <w:t>Единый сельскохозяйственный</w:t>
            </w:r>
            <w:r>
              <w:rPr>
                <w:rFonts w:ascii="Times New Roman" w:hAnsi="Times New Roman" w:cs="Times New Roman"/>
                <w:sz w:val="28"/>
                <w:szCs w:val="28"/>
              </w:rPr>
              <w:br/>
              <w:t xml:space="preserve">налог               </w:t>
            </w:r>
          </w:p>
        </w:tc>
        <w:tc>
          <w:tcPr>
            <w:tcW w:w="1655"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124" w:firstLine="0"/>
              <w:jc w:val="both"/>
              <w:rPr>
                <w:rFonts w:ascii="Times New Roman" w:hAnsi="Times New Roman" w:cs="Times New Roman"/>
                <w:sz w:val="28"/>
                <w:szCs w:val="28"/>
              </w:rPr>
            </w:pPr>
            <w:r>
              <w:rPr>
                <w:rFonts w:ascii="Times New Roman" w:hAnsi="Times New Roman" w:cs="Times New Roman"/>
                <w:sz w:val="28"/>
                <w:szCs w:val="28"/>
              </w:rPr>
              <w:t>Налогооблагаемая база (разница между суммой доходов и суммой расходов)</w:t>
            </w:r>
          </w:p>
        </w:tc>
        <w:tc>
          <w:tcPr>
            <w:tcW w:w="1818" w:type="pct"/>
            <w:tcBorders>
              <w:top w:val="single" w:sz="6" w:space="0" w:color="auto"/>
              <w:left w:val="single" w:sz="6" w:space="0" w:color="auto"/>
              <w:bottom w:val="single" w:sz="6" w:space="0" w:color="auto"/>
              <w:right w:val="single" w:sz="6" w:space="0" w:color="auto"/>
            </w:tcBorders>
            <w:hideMark/>
          </w:tcPr>
          <w:p w:rsidR="00F04428" w:rsidRDefault="00F04428" w:rsidP="00D450C1">
            <w:pPr>
              <w:pStyle w:val="ConsPlusNormal"/>
              <w:widowControl/>
              <w:tabs>
                <w:tab w:val="left" w:pos="567"/>
              </w:tabs>
              <w:ind w:left="72" w:hanging="72"/>
              <w:jc w:val="both"/>
              <w:rPr>
                <w:rFonts w:ascii="Times New Roman" w:hAnsi="Times New Roman" w:cs="Times New Roman"/>
                <w:sz w:val="28"/>
                <w:szCs w:val="28"/>
              </w:rPr>
            </w:pPr>
            <w:r>
              <w:rPr>
                <w:rFonts w:ascii="Times New Roman" w:hAnsi="Times New Roman" w:cs="Times New Roman"/>
                <w:sz w:val="28"/>
                <w:szCs w:val="28"/>
              </w:rPr>
              <w:t xml:space="preserve">Управление Федеральной      </w:t>
            </w:r>
            <w:r>
              <w:rPr>
                <w:rFonts w:ascii="Times New Roman" w:hAnsi="Times New Roman" w:cs="Times New Roman"/>
                <w:sz w:val="28"/>
                <w:szCs w:val="28"/>
              </w:rPr>
              <w:br/>
              <w:t xml:space="preserve">налоговой службы </w:t>
            </w:r>
          </w:p>
        </w:tc>
      </w:tr>
      <w:tr w:rsidR="00F04428" w:rsidTr="00F04428">
        <w:trPr>
          <w:trHeight w:val="600"/>
        </w:trPr>
        <w:tc>
          <w:tcPr>
            <w:tcW w:w="1527"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72" w:firstLine="0"/>
              <w:rPr>
                <w:rFonts w:ascii="Times New Roman" w:hAnsi="Times New Roman" w:cs="Times New Roman"/>
                <w:sz w:val="28"/>
                <w:szCs w:val="28"/>
              </w:rPr>
            </w:pPr>
            <w:r>
              <w:rPr>
                <w:rFonts w:ascii="Times New Roman" w:hAnsi="Times New Roman" w:cs="Times New Roman"/>
                <w:sz w:val="28"/>
                <w:szCs w:val="28"/>
              </w:rPr>
              <w:t xml:space="preserve">Земельный налог     </w:t>
            </w:r>
          </w:p>
        </w:tc>
        <w:tc>
          <w:tcPr>
            <w:tcW w:w="1655"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124" w:firstLine="0"/>
              <w:jc w:val="both"/>
              <w:rPr>
                <w:rFonts w:ascii="Times New Roman" w:hAnsi="Times New Roman" w:cs="Times New Roman"/>
                <w:sz w:val="28"/>
                <w:szCs w:val="28"/>
              </w:rPr>
            </w:pPr>
            <w:r>
              <w:rPr>
                <w:rFonts w:ascii="Times New Roman" w:hAnsi="Times New Roman" w:cs="Times New Roman"/>
                <w:sz w:val="28"/>
                <w:szCs w:val="28"/>
              </w:rPr>
              <w:t xml:space="preserve">Кадастровая стоимость по видам земель с учетом коэффициента             </w:t>
            </w:r>
            <w:r>
              <w:rPr>
                <w:rFonts w:ascii="Times New Roman" w:hAnsi="Times New Roman" w:cs="Times New Roman"/>
                <w:sz w:val="28"/>
                <w:szCs w:val="28"/>
              </w:rPr>
              <w:br/>
              <w:t xml:space="preserve">предоставляемых льгот    </w:t>
            </w:r>
          </w:p>
        </w:tc>
        <w:tc>
          <w:tcPr>
            <w:tcW w:w="1818" w:type="pct"/>
            <w:tcBorders>
              <w:top w:val="single" w:sz="6" w:space="0" w:color="auto"/>
              <w:left w:val="single" w:sz="6" w:space="0" w:color="auto"/>
              <w:bottom w:val="single" w:sz="6" w:space="0" w:color="auto"/>
              <w:right w:val="single" w:sz="6" w:space="0" w:color="auto"/>
            </w:tcBorders>
            <w:hideMark/>
          </w:tcPr>
          <w:p w:rsidR="00F04428" w:rsidRDefault="00F04428" w:rsidP="00D450C1">
            <w:pPr>
              <w:pStyle w:val="ConsPlusNormal"/>
              <w:widowControl/>
              <w:tabs>
                <w:tab w:val="left" w:pos="567"/>
              </w:tabs>
              <w:ind w:left="72" w:hanging="72"/>
              <w:jc w:val="both"/>
              <w:rPr>
                <w:rFonts w:ascii="Times New Roman" w:hAnsi="Times New Roman" w:cs="Times New Roman"/>
                <w:sz w:val="28"/>
                <w:szCs w:val="28"/>
              </w:rPr>
            </w:pPr>
            <w:r>
              <w:rPr>
                <w:rFonts w:ascii="Times New Roman" w:hAnsi="Times New Roman" w:cs="Times New Roman"/>
                <w:sz w:val="28"/>
                <w:szCs w:val="28"/>
              </w:rPr>
              <w:t xml:space="preserve">Управление Федерального     </w:t>
            </w:r>
            <w:r>
              <w:rPr>
                <w:rFonts w:ascii="Times New Roman" w:hAnsi="Times New Roman" w:cs="Times New Roman"/>
                <w:sz w:val="28"/>
                <w:szCs w:val="28"/>
              </w:rPr>
              <w:br/>
              <w:t xml:space="preserve">агентства кадастра объектов недвижимости </w:t>
            </w:r>
          </w:p>
        </w:tc>
      </w:tr>
      <w:tr w:rsidR="00F04428" w:rsidTr="00F04428">
        <w:trPr>
          <w:trHeight w:val="480"/>
        </w:trPr>
        <w:tc>
          <w:tcPr>
            <w:tcW w:w="1527"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72" w:firstLine="0"/>
              <w:rPr>
                <w:rFonts w:ascii="Times New Roman" w:hAnsi="Times New Roman" w:cs="Times New Roman"/>
                <w:sz w:val="28"/>
                <w:szCs w:val="28"/>
              </w:rPr>
            </w:pPr>
            <w:r>
              <w:rPr>
                <w:rFonts w:ascii="Times New Roman" w:hAnsi="Times New Roman" w:cs="Times New Roman"/>
                <w:sz w:val="28"/>
                <w:szCs w:val="28"/>
              </w:rPr>
              <w:t xml:space="preserve">Налог на имущество  </w:t>
            </w:r>
            <w:r>
              <w:rPr>
                <w:rFonts w:ascii="Times New Roman" w:hAnsi="Times New Roman" w:cs="Times New Roman"/>
                <w:sz w:val="28"/>
                <w:szCs w:val="28"/>
              </w:rPr>
              <w:br/>
              <w:t xml:space="preserve">физических лиц      </w:t>
            </w:r>
          </w:p>
        </w:tc>
        <w:tc>
          <w:tcPr>
            <w:tcW w:w="1655" w:type="pct"/>
            <w:tcBorders>
              <w:top w:val="single" w:sz="6" w:space="0" w:color="auto"/>
              <w:left w:val="single" w:sz="6" w:space="0" w:color="auto"/>
              <w:bottom w:val="single" w:sz="6" w:space="0" w:color="auto"/>
              <w:right w:val="single" w:sz="6" w:space="0" w:color="auto"/>
            </w:tcBorders>
            <w:hideMark/>
          </w:tcPr>
          <w:p w:rsidR="00F04428" w:rsidRDefault="00F04428" w:rsidP="00F04428">
            <w:pPr>
              <w:pStyle w:val="ConsPlusNormal"/>
              <w:widowControl/>
              <w:tabs>
                <w:tab w:val="left" w:pos="567"/>
              </w:tabs>
              <w:ind w:left="124" w:firstLine="0"/>
              <w:jc w:val="both"/>
              <w:rPr>
                <w:rFonts w:ascii="Times New Roman" w:hAnsi="Times New Roman" w:cs="Times New Roman"/>
                <w:sz w:val="28"/>
                <w:szCs w:val="28"/>
              </w:rPr>
            </w:pPr>
            <w:r>
              <w:rPr>
                <w:rFonts w:ascii="Times New Roman" w:hAnsi="Times New Roman" w:cs="Times New Roman"/>
                <w:sz w:val="28"/>
                <w:szCs w:val="28"/>
              </w:rPr>
              <w:t xml:space="preserve">Начисленная сумма налога </w:t>
            </w:r>
          </w:p>
        </w:tc>
        <w:tc>
          <w:tcPr>
            <w:tcW w:w="1818" w:type="pct"/>
            <w:tcBorders>
              <w:top w:val="single" w:sz="6" w:space="0" w:color="auto"/>
              <w:left w:val="single" w:sz="6" w:space="0" w:color="auto"/>
              <w:bottom w:val="single" w:sz="6" w:space="0" w:color="auto"/>
              <w:right w:val="single" w:sz="6" w:space="0" w:color="auto"/>
            </w:tcBorders>
            <w:hideMark/>
          </w:tcPr>
          <w:p w:rsidR="00F04428" w:rsidRDefault="00F04428" w:rsidP="00D450C1">
            <w:pPr>
              <w:pStyle w:val="ConsPlusNormal"/>
              <w:widowControl/>
              <w:tabs>
                <w:tab w:val="left" w:pos="567"/>
              </w:tabs>
              <w:ind w:left="72" w:hanging="72"/>
              <w:jc w:val="both"/>
              <w:rPr>
                <w:rFonts w:ascii="Times New Roman" w:hAnsi="Times New Roman" w:cs="Times New Roman"/>
                <w:sz w:val="28"/>
                <w:szCs w:val="28"/>
              </w:rPr>
            </w:pPr>
            <w:r>
              <w:rPr>
                <w:rFonts w:ascii="Times New Roman" w:hAnsi="Times New Roman" w:cs="Times New Roman"/>
                <w:sz w:val="28"/>
                <w:szCs w:val="28"/>
              </w:rPr>
              <w:t xml:space="preserve">Управление Федеральной      </w:t>
            </w:r>
            <w:r>
              <w:rPr>
                <w:rFonts w:ascii="Times New Roman" w:hAnsi="Times New Roman" w:cs="Times New Roman"/>
                <w:sz w:val="28"/>
                <w:szCs w:val="28"/>
              </w:rPr>
              <w:br/>
              <w:t xml:space="preserve">налоговой службы               </w:t>
            </w:r>
          </w:p>
        </w:tc>
      </w:tr>
    </w:tbl>
    <w:p w:rsidR="00F04428" w:rsidRDefault="00F04428" w:rsidP="00F04428">
      <w:pPr>
        <w:pStyle w:val="a4"/>
        <w:tabs>
          <w:tab w:val="left" w:pos="567"/>
        </w:tabs>
        <w:spacing w:after="0" w:line="240" w:lineRule="auto"/>
        <w:rPr>
          <w:sz w:val="28"/>
          <w:szCs w:val="28"/>
        </w:rPr>
      </w:pPr>
    </w:p>
    <w:p w:rsidR="00F04428" w:rsidRDefault="00F04428" w:rsidP="00F04428">
      <w:pPr>
        <w:pStyle w:val="a4"/>
        <w:tabs>
          <w:tab w:val="left" w:pos="567"/>
        </w:tabs>
        <w:spacing w:after="0" w:line="240" w:lineRule="auto"/>
        <w:rPr>
          <w:sz w:val="28"/>
        </w:rPr>
      </w:pPr>
      <w:r>
        <w:rPr>
          <w:sz w:val="28"/>
        </w:rPr>
        <w:t>5. Для расчета распределения средств РФФПП используется следующая формула:</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Ф</w:t>
      </w:r>
      <w:r>
        <w:rPr>
          <w:sz w:val="28"/>
          <w:szCs w:val="28"/>
          <w:vertAlign w:val="subscript"/>
          <w:lang w:val="en-US"/>
        </w:rPr>
        <w:t>i</w:t>
      </w:r>
      <w:r>
        <w:rPr>
          <w:sz w:val="28"/>
        </w:rPr>
        <w:t xml:space="preserve">  = Ф x О</w:t>
      </w:r>
      <w:r>
        <w:rPr>
          <w:sz w:val="28"/>
          <w:szCs w:val="28"/>
          <w:vertAlign w:val="subscript"/>
          <w:lang w:val="en-US"/>
        </w:rPr>
        <w:t>i</w:t>
      </w:r>
      <w:r>
        <w:rPr>
          <w:sz w:val="28"/>
        </w:rPr>
        <w:t xml:space="preserve"> / О,</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Ф</w:t>
      </w:r>
      <w:r>
        <w:rPr>
          <w:sz w:val="28"/>
          <w:szCs w:val="28"/>
          <w:vertAlign w:val="subscript"/>
        </w:rPr>
        <w:t>i</w:t>
      </w:r>
      <w:r>
        <w:rPr>
          <w:sz w:val="28"/>
        </w:rPr>
        <w:t xml:space="preserve"> - объем средств РФФПП для i-го поселения;</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Ф - объем РФФПП;</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lastRenderedPageBreak/>
        <w:t>О</w:t>
      </w:r>
      <w:r>
        <w:rPr>
          <w:sz w:val="28"/>
          <w:szCs w:val="28"/>
          <w:vertAlign w:val="subscript"/>
        </w:rPr>
        <w:t>i</w:t>
      </w:r>
      <w:r>
        <w:rPr>
          <w:sz w:val="28"/>
        </w:rPr>
        <w:t xml:space="preserve">  - объем средств, недостающих для достижения i-м поселением уровня бюджетной обеспеченности, установленного в качестве критерия выравнивания расчетной бюджетной обеспеченности;</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О - объем средств, недостающих для достижения всеми поселениями уровня бюджетной обеспеченности, установленного в качестве критерия выравнивания расчетной бюджетной обеспеченности.</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Объем средств, недостающих для достижения уровня бюджетной обеспеченности, установленного в качестве критерия выравнивания расчетной бюджетной обеспеченности, определяется по формуле: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О</w:t>
      </w:r>
      <w:r>
        <w:rPr>
          <w:sz w:val="28"/>
          <w:szCs w:val="28"/>
          <w:vertAlign w:val="subscript"/>
        </w:rPr>
        <w:t>i</w:t>
      </w:r>
      <w:r>
        <w:rPr>
          <w:sz w:val="28"/>
        </w:rPr>
        <w:t xml:space="preserve">  = н</w:t>
      </w:r>
      <w:r>
        <w:rPr>
          <w:sz w:val="28"/>
          <w:szCs w:val="28"/>
          <w:vertAlign w:val="subscript"/>
        </w:rPr>
        <w:t>i</w:t>
      </w:r>
      <w:r>
        <w:rPr>
          <w:sz w:val="28"/>
        </w:rPr>
        <w:t xml:space="preserve">  x НП x (К - БО</w:t>
      </w:r>
      <w:r>
        <w:rPr>
          <w:sz w:val="28"/>
          <w:szCs w:val="28"/>
          <w:vertAlign w:val="subscript"/>
        </w:rPr>
        <w:t>i</w:t>
      </w:r>
      <w:r>
        <w:rPr>
          <w:sz w:val="28"/>
        </w:rPr>
        <w:t xml:space="preserve"> ),</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где:</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О</w:t>
      </w:r>
      <w:r>
        <w:rPr>
          <w:sz w:val="28"/>
          <w:szCs w:val="28"/>
          <w:vertAlign w:val="subscript"/>
        </w:rPr>
        <w:t>i</w:t>
      </w:r>
      <w:r>
        <w:rPr>
          <w:sz w:val="28"/>
        </w:rPr>
        <w:t xml:space="preserve"> - объем средств, недостающих для достижения i-м поселением уровня бюджетной обеспеченности, установленного в качестве критерия выравнивания расчетной бюджетной обеспеченности;</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w:t>
      </w:r>
      <w:r>
        <w:rPr>
          <w:sz w:val="28"/>
          <w:szCs w:val="28"/>
          <w:vertAlign w:val="subscript"/>
        </w:rPr>
        <w:t>i</w:t>
      </w:r>
      <w:r>
        <w:rPr>
          <w:sz w:val="28"/>
        </w:rPr>
        <w:t xml:space="preserve">  - численность населения i-го поселения;</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НП - налоговый потенциал по всем поселениям муниципального района с учетом дотаций на выравнивание бюджетной обеспеченности поселений из Регионального фонда финансовой поддержки поселений;</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К - критерий выравнивания расчетной бюджетной обеспеченности;</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БО</w:t>
      </w:r>
      <w:r>
        <w:rPr>
          <w:sz w:val="28"/>
          <w:szCs w:val="28"/>
          <w:vertAlign w:val="subscript"/>
        </w:rPr>
        <w:t>i</w:t>
      </w:r>
      <w:r>
        <w:rPr>
          <w:sz w:val="28"/>
        </w:rPr>
        <w:t xml:space="preserve">  - уровень расчетной бюджетной обеспеченности i-го поселения до распределения средств РФФПП.</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Объем средств, недостающих для достижения поселением уровня бюджетной обеспеченности, установленного в качестве критерия выравнивания бюджетной обеспеченности, рассчитывается только по поселениям, уровень расчетной бюджетной обеспеченности которых меньше критерия выравнивания бюджетной обеспеченности (БО</w:t>
      </w:r>
      <w:r>
        <w:rPr>
          <w:sz w:val="28"/>
          <w:szCs w:val="28"/>
          <w:vertAlign w:val="subscript"/>
        </w:rPr>
        <w:t>i</w:t>
      </w:r>
      <w:r>
        <w:rPr>
          <w:sz w:val="28"/>
        </w:rPr>
        <w:t>&lt; К).</w:t>
      </w:r>
    </w:p>
    <w:p w:rsidR="00F04428" w:rsidRDefault="00F04428" w:rsidP="00F04428">
      <w:pPr>
        <w:pStyle w:val="a4"/>
        <w:tabs>
          <w:tab w:val="left" w:pos="567"/>
        </w:tabs>
        <w:spacing w:after="0" w:line="240" w:lineRule="auto"/>
        <w:rPr>
          <w:sz w:val="28"/>
        </w:rPr>
      </w:pPr>
    </w:p>
    <w:p w:rsidR="00F04428" w:rsidRDefault="00F04428" w:rsidP="00F04428">
      <w:pPr>
        <w:pStyle w:val="a4"/>
        <w:tabs>
          <w:tab w:val="left" w:pos="567"/>
        </w:tabs>
        <w:spacing w:after="0" w:line="240" w:lineRule="auto"/>
        <w:rPr>
          <w:sz w:val="28"/>
        </w:rPr>
      </w:pPr>
      <w:r>
        <w:rPr>
          <w:sz w:val="28"/>
        </w:rPr>
        <w:t>В качестве критерия выравнивания бюджетной обеспеченности устанавливается уровень, равный 1,0 (К = 1,0).";</w:t>
      </w:r>
    </w:p>
    <w:p w:rsidR="00F04428" w:rsidRPr="00F04428" w:rsidRDefault="00F04428" w:rsidP="00F04428">
      <w:pPr>
        <w:tabs>
          <w:tab w:val="left" w:pos="567"/>
        </w:tabs>
      </w:pPr>
    </w:p>
    <w:p w:rsidR="00770A34" w:rsidRPr="00F04428" w:rsidRDefault="00770A34" w:rsidP="00F04428">
      <w:pPr>
        <w:shd w:val="clear" w:color="auto" w:fill="FFFFFF"/>
        <w:tabs>
          <w:tab w:val="left" w:pos="567"/>
        </w:tabs>
        <w:spacing w:line="360" w:lineRule="auto"/>
        <w:ind w:left="19"/>
        <w:jc w:val="center"/>
      </w:pPr>
    </w:p>
    <w:sectPr w:rsidR="00770A34" w:rsidRPr="00F04428" w:rsidSect="00F06E90">
      <w:headerReference w:type="default" r:id="rId7"/>
      <w:pgSz w:w="11906" w:h="16838"/>
      <w:pgMar w:top="1134" w:right="850" w:bottom="1134" w:left="1701" w:header="567" w:footer="708" w:gutter="0"/>
      <w:pgNumType w:start="8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4A4" w:rsidRDefault="00E134A4" w:rsidP="00F06E90">
      <w:r>
        <w:separator/>
      </w:r>
    </w:p>
  </w:endnote>
  <w:endnote w:type="continuationSeparator" w:id="1">
    <w:p w:rsidR="00E134A4" w:rsidRDefault="00E134A4" w:rsidP="00F06E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4A4" w:rsidRDefault="00E134A4" w:rsidP="00F06E90">
      <w:r>
        <w:separator/>
      </w:r>
    </w:p>
  </w:footnote>
  <w:footnote w:type="continuationSeparator" w:id="1">
    <w:p w:rsidR="00E134A4" w:rsidRDefault="00E134A4" w:rsidP="00F06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661730"/>
      <w:showingPlcHdr/>
    </w:sdtPr>
    <w:sdtContent>
      <w:p w:rsidR="00F06E90" w:rsidRDefault="001067A7">
        <w:pPr>
          <w:pStyle w:val="a8"/>
          <w:jc w:val="right"/>
        </w:pPr>
        <w:r>
          <w:t xml:space="preserve">     </w:t>
        </w:r>
      </w:p>
    </w:sdtContent>
  </w:sdt>
  <w:p w:rsidR="00F06E90" w:rsidRDefault="00F06E90">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21F2A"/>
    <w:rsid w:val="000179A6"/>
    <w:rsid w:val="00021A20"/>
    <w:rsid w:val="0006682F"/>
    <w:rsid w:val="0007335B"/>
    <w:rsid w:val="00093D85"/>
    <w:rsid w:val="000D787F"/>
    <w:rsid w:val="00106713"/>
    <w:rsid w:val="001067A7"/>
    <w:rsid w:val="00126E02"/>
    <w:rsid w:val="001318CC"/>
    <w:rsid w:val="00153000"/>
    <w:rsid w:val="00221A0E"/>
    <w:rsid w:val="002F5CAF"/>
    <w:rsid w:val="00421106"/>
    <w:rsid w:val="00433AC7"/>
    <w:rsid w:val="004478EA"/>
    <w:rsid w:val="004819D3"/>
    <w:rsid w:val="0051693B"/>
    <w:rsid w:val="005F03A6"/>
    <w:rsid w:val="00643BF0"/>
    <w:rsid w:val="007053D1"/>
    <w:rsid w:val="00710C60"/>
    <w:rsid w:val="00721F2A"/>
    <w:rsid w:val="00732B44"/>
    <w:rsid w:val="00734195"/>
    <w:rsid w:val="00766879"/>
    <w:rsid w:val="00770A34"/>
    <w:rsid w:val="00796E60"/>
    <w:rsid w:val="007A5B7E"/>
    <w:rsid w:val="007F680F"/>
    <w:rsid w:val="00802831"/>
    <w:rsid w:val="00880F1B"/>
    <w:rsid w:val="00934321"/>
    <w:rsid w:val="00955AE2"/>
    <w:rsid w:val="00A31A2A"/>
    <w:rsid w:val="00A41EB2"/>
    <w:rsid w:val="00AB1C48"/>
    <w:rsid w:val="00AB5744"/>
    <w:rsid w:val="00AB7DCC"/>
    <w:rsid w:val="00B505EF"/>
    <w:rsid w:val="00C12F5B"/>
    <w:rsid w:val="00C47321"/>
    <w:rsid w:val="00C615D8"/>
    <w:rsid w:val="00D450C1"/>
    <w:rsid w:val="00D46C76"/>
    <w:rsid w:val="00DB074D"/>
    <w:rsid w:val="00DD0FA4"/>
    <w:rsid w:val="00DF37D8"/>
    <w:rsid w:val="00E134A4"/>
    <w:rsid w:val="00EE38B4"/>
    <w:rsid w:val="00F04428"/>
    <w:rsid w:val="00F06E90"/>
    <w:rsid w:val="00F2378E"/>
    <w:rsid w:val="00F77B0D"/>
    <w:rsid w:val="00FA770D"/>
    <w:rsid w:val="00FB67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F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21F2A"/>
    <w:pPr>
      <w:spacing w:after="0" w:line="240" w:lineRule="auto"/>
    </w:pPr>
    <w:rPr>
      <w:rFonts w:ascii="Cambria" w:eastAsia="Times New Roman" w:hAnsi="Cambria" w:cs="Times New Roman"/>
      <w:lang w:eastAsia="ru-RU"/>
    </w:rPr>
  </w:style>
  <w:style w:type="paragraph" w:styleId="a4">
    <w:name w:val="Body Text"/>
    <w:basedOn w:val="a"/>
    <w:link w:val="a5"/>
    <w:semiHidden/>
    <w:unhideWhenUsed/>
    <w:rsid w:val="00F04428"/>
    <w:pPr>
      <w:suppressAutoHyphens/>
      <w:spacing w:after="120" w:line="360" w:lineRule="auto"/>
      <w:ind w:firstLine="709"/>
      <w:jc w:val="both"/>
    </w:pPr>
    <w:rPr>
      <w:sz w:val="26"/>
      <w:szCs w:val="20"/>
    </w:rPr>
  </w:style>
  <w:style w:type="character" w:customStyle="1" w:styleId="a5">
    <w:name w:val="Основной текст Знак"/>
    <w:basedOn w:val="a0"/>
    <w:link w:val="a4"/>
    <w:semiHidden/>
    <w:rsid w:val="00F04428"/>
    <w:rPr>
      <w:rFonts w:ascii="Times New Roman" w:eastAsia="Times New Roman" w:hAnsi="Times New Roman" w:cs="Times New Roman"/>
      <w:sz w:val="26"/>
      <w:szCs w:val="20"/>
      <w:lang w:eastAsia="ru-RU"/>
    </w:rPr>
  </w:style>
  <w:style w:type="paragraph" w:customStyle="1" w:styleId="ConsPlusNormal">
    <w:name w:val="ConsPlusNormal"/>
    <w:rsid w:val="00F044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7A5B7E"/>
    <w:rPr>
      <w:rFonts w:ascii="Tahoma" w:hAnsi="Tahoma" w:cs="Tahoma"/>
      <w:sz w:val="16"/>
      <w:szCs w:val="16"/>
    </w:rPr>
  </w:style>
  <w:style w:type="character" w:customStyle="1" w:styleId="a7">
    <w:name w:val="Текст выноски Знак"/>
    <w:basedOn w:val="a0"/>
    <w:link w:val="a6"/>
    <w:uiPriority w:val="99"/>
    <w:semiHidden/>
    <w:rsid w:val="007A5B7E"/>
    <w:rPr>
      <w:rFonts w:ascii="Tahoma" w:eastAsia="Times New Roman" w:hAnsi="Tahoma" w:cs="Tahoma"/>
      <w:sz w:val="16"/>
      <w:szCs w:val="16"/>
      <w:lang w:eastAsia="ru-RU"/>
    </w:rPr>
  </w:style>
  <w:style w:type="paragraph" w:styleId="a8">
    <w:name w:val="header"/>
    <w:basedOn w:val="a"/>
    <w:link w:val="a9"/>
    <w:uiPriority w:val="99"/>
    <w:unhideWhenUsed/>
    <w:rsid w:val="00F06E90"/>
    <w:pPr>
      <w:tabs>
        <w:tab w:val="center" w:pos="4677"/>
        <w:tab w:val="right" w:pos="9355"/>
      </w:tabs>
    </w:pPr>
  </w:style>
  <w:style w:type="character" w:customStyle="1" w:styleId="a9">
    <w:name w:val="Верхний колонтитул Знак"/>
    <w:basedOn w:val="a0"/>
    <w:link w:val="a8"/>
    <w:uiPriority w:val="99"/>
    <w:rsid w:val="00F06E90"/>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F06E90"/>
    <w:pPr>
      <w:tabs>
        <w:tab w:val="center" w:pos="4677"/>
        <w:tab w:val="right" w:pos="9355"/>
      </w:tabs>
    </w:pPr>
  </w:style>
  <w:style w:type="character" w:customStyle="1" w:styleId="ab">
    <w:name w:val="Нижний колонтитул Знак"/>
    <w:basedOn w:val="a0"/>
    <w:link w:val="aa"/>
    <w:uiPriority w:val="99"/>
    <w:semiHidden/>
    <w:rsid w:val="00F06E9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6447852">
      <w:bodyDiv w:val="1"/>
      <w:marLeft w:val="0"/>
      <w:marRight w:val="0"/>
      <w:marTop w:val="0"/>
      <w:marBottom w:val="0"/>
      <w:divBdr>
        <w:top w:val="none" w:sz="0" w:space="0" w:color="auto"/>
        <w:left w:val="none" w:sz="0" w:space="0" w:color="auto"/>
        <w:bottom w:val="none" w:sz="0" w:space="0" w:color="auto"/>
        <w:right w:val="none" w:sz="0" w:space="0" w:color="auto"/>
      </w:divBdr>
    </w:div>
    <w:div w:id="65144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916D7-B0B9-4CED-A76F-3966CDEA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5</Pages>
  <Words>1206</Words>
  <Characters>6876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Позитроника</dc:creator>
  <cp:keywords/>
  <dc:description/>
  <cp:lastModifiedBy>Орлан-ооловна</cp:lastModifiedBy>
  <cp:revision>31</cp:revision>
  <cp:lastPrinted>2018-11-20T05:18:00Z</cp:lastPrinted>
  <dcterms:created xsi:type="dcterms:W3CDTF">2012-12-25T03:21:00Z</dcterms:created>
  <dcterms:modified xsi:type="dcterms:W3CDTF">2019-12-16T10:12:00Z</dcterms:modified>
</cp:coreProperties>
</file>